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751467" w:rsidRPr="009C3671">
        <w:rPr>
          <w:b/>
          <w:noProof/>
          <w:color w:val="000000"/>
          <w:sz w:val="22"/>
          <w:szCs w:val="22"/>
        </w:rPr>
        <w:t>Firdaus, SE., ME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751467" w:rsidRPr="009C3671">
        <w:rPr>
          <w:noProof/>
          <w:color w:val="000000"/>
          <w:sz w:val="22"/>
          <w:szCs w:val="22"/>
          <w:lang w:val="en-AU"/>
        </w:rPr>
        <w:t>Usul NIDN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751467" w:rsidRPr="009C3671">
        <w:rPr>
          <w:noProof/>
          <w:color w:val="000000"/>
          <w:sz w:val="22"/>
          <w:szCs w:val="22"/>
          <w:lang w:val="en-AU"/>
        </w:rPr>
        <w:t>614770632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751467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751467" w:rsidRPr="009C3671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DA5323CB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18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DA5323DA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467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2015-05-27T04:34:00Z</dcterms:created>
  <dcterms:modified xsi:type="dcterms:W3CDTF">2015-05-27T04:34:00Z</dcterms:modified>
</cp:coreProperties>
</file>