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4B3E24" w:rsidRPr="009C3671">
        <w:rPr>
          <w:b/>
          <w:noProof/>
          <w:color w:val="000000"/>
          <w:sz w:val="22"/>
          <w:szCs w:val="22"/>
        </w:rPr>
        <w:t>Garin Pratiwi Solihati, SE.,MM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4B3E24" w:rsidRPr="009C3671">
        <w:rPr>
          <w:noProof/>
          <w:color w:val="000000"/>
          <w:sz w:val="22"/>
          <w:szCs w:val="22"/>
          <w:lang w:val="en-AU"/>
        </w:rPr>
        <w:t>0304067403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4B3E24" w:rsidRPr="009C3671">
        <w:rPr>
          <w:noProof/>
          <w:color w:val="000000"/>
          <w:sz w:val="22"/>
          <w:szCs w:val="22"/>
          <w:lang w:val="en-AU"/>
        </w:rPr>
        <w:t>609740117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4B3E24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4B3E24" w:rsidRPr="009C3671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DA3324CB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A-304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DA5313DA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B3E24" w:rsidRPr="009C3671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0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2015-05-27T06:39:00Z</dcterms:created>
  <dcterms:modified xsi:type="dcterms:W3CDTF">2015-05-27T06:39:00Z</dcterms:modified>
</cp:coreProperties>
</file>