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F43CD2" w:rsidRPr="009C3671">
        <w:rPr>
          <w:b/>
          <w:noProof/>
          <w:color w:val="000000"/>
          <w:sz w:val="22"/>
          <w:szCs w:val="22"/>
        </w:rPr>
        <w:t>Hari Setiyawati, SE., Ak., M.Si,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F43CD2" w:rsidRPr="009C3671">
        <w:rPr>
          <w:noProof/>
          <w:color w:val="000000"/>
          <w:sz w:val="22"/>
          <w:szCs w:val="22"/>
          <w:lang w:val="en-AU"/>
        </w:rPr>
        <w:t>0311066802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F43CD2" w:rsidRPr="009C3671">
        <w:rPr>
          <w:noProof/>
          <w:color w:val="000000"/>
          <w:sz w:val="22"/>
          <w:szCs w:val="22"/>
          <w:lang w:val="en-AU"/>
        </w:rPr>
        <w:t>193680117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F43CD2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F43CD2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DA3323AA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DA3323BA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3CD2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291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2015-05-27T06:41:00Z</dcterms:created>
  <dcterms:modified xsi:type="dcterms:W3CDTF">2015-05-27T06:41:00Z</dcterms:modified>
</cp:coreProperties>
</file>