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159"/>
        <w:gridCol w:w="1843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247271" w:rsidP="00FF4D4E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04265" cy="1104265"/>
                  <wp:effectExtent l="0" t="0" r="635" b="635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9" w:type="dxa"/>
          </w:tcPr>
          <w:p w:rsidR="003E2AAE" w:rsidRDefault="003E2AAE" w:rsidP="00FF4D4E"/>
          <w:p w:rsidR="003E2AAE" w:rsidRPr="00B37EB1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B37EB1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B37EB1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B37EB1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3E2AAE" w:rsidRPr="00B37EB1" w:rsidRDefault="00C15CE2" w:rsidP="00C15CE2">
            <w:pPr>
              <w:jc w:val="center"/>
              <w:rPr>
                <w:lang w:val="sv-SE"/>
              </w:rPr>
            </w:pPr>
            <w:r w:rsidRPr="00B37EB1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B37EB1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45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0A2A81" w:rsidP="00727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727D85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727D8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614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8A625A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8A625A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Default="00A42C6C" w:rsidP="00646997">
      <w:pPr>
        <w:tabs>
          <w:tab w:val="left" w:pos="2200"/>
        </w:tabs>
        <w:rPr>
          <w:rFonts w:ascii="Arial" w:hAnsi="Arial" w:cs="Arial"/>
          <w:bCs/>
          <w:color w:val="000000"/>
          <w:lang w:val="sv-SE"/>
        </w:rPr>
      </w:pPr>
      <w:r w:rsidRPr="00D03EF7">
        <w:rPr>
          <w:rFonts w:ascii="Arial" w:hAnsi="Arial" w:cs="Arial"/>
          <w:bCs/>
          <w:color w:val="000000"/>
          <w:lang w:val="sv-SE"/>
        </w:rPr>
        <w:t xml:space="preserve">Mata Kuliah </w:t>
      </w:r>
      <w:r w:rsidRPr="00D03EF7">
        <w:rPr>
          <w:rFonts w:ascii="Arial" w:hAnsi="Arial" w:cs="Arial"/>
          <w:bCs/>
          <w:color w:val="000000"/>
          <w:lang w:val="sv-SE"/>
        </w:rPr>
        <w:tab/>
      </w:r>
      <w:r w:rsidR="006C7993">
        <w:rPr>
          <w:rFonts w:ascii="Arial" w:hAnsi="Arial" w:cs="Arial"/>
          <w:bCs/>
          <w:color w:val="000000"/>
          <w:lang w:val="sv-SE"/>
        </w:rPr>
        <w:t xml:space="preserve">    </w:t>
      </w:r>
      <w:r w:rsidRPr="00D03EF7">
        <w:rPr>
          <w:rFonts w:ascii="Arial" w:hAnsi="Arial" w:cs="Arial"/>
          <w:bCs/>
          <w:color w:val="000000"/>
          <w:lang w:val="sv-SE"/>
        </w:rPr>
        <w:t xml:space="preserve">: </w:t>
      </w:r>
      <w:r w:rsidR="00B37EB1" w:rsidRPr="00D03EF7">
        <w:rPr>
          <w:rFonts w:ascii="Arial" w:hAnsi="Arial" w:cs="Arial"/>
          <w:bCs/>
          <w:color w:val="000000"/>
          <w:lang w:val="sv-SE"/>
        </w:rPr>
        <w:t>Manajemen Perubahan</w:t>
      </w:r>
      <w:r w:rsidRPr="00D03EF7">
        <w:rPr>
          <w:rFonts w:ascii="Arial" w:hAnsi="Arial" w:cs="Arial"/>
          <w:color w:val="000000"/>
          <w:lang w:val="sv-SE"/>
        </w:rPr>
        <w:t xml:space="preserve">   </w:t>
      </w:r>
      <w:r w:rsidR="00742CBC" w:rsidRPr="00D03EF7">
        <w:rPr>
          <w:rFonts w:ascii="Arial" w:hAnsi="Arial" w:cs="Arial"/>
          <w:color w:val="000000"/>
          <w:lang w:val="sv-SE"/>
        </w:rPr>
        <w:tab/>
      </w:r>
      <w:r w:rsidR="00742CBC" w:rsidRPr="00D03EF7">
        <w:rPr>
          <w:rFonts w:ascii="Arial" w:hAnsi="Arial" w:cs="Arial"/>
          <w:color w:val="000000"/>
          <w:lang w:val="sv-SE"/>
        </w:rPr>
        <w:tab/>
      </w:r>
      <w:r w:rsidR="00742CBC" w:rsidRPr="00D03EF7">
        <w:rPr>
          <w:rFonts w:ascii="Arial" w:hAnsi="Arial" w:cs="Arial"/>
          <w:color w:val="000000"/>
          <w:lang w:val="sv-SE"/>
        </w:rPr>
        <w:tab/>
      </w:r>
      <w:r w:rsidRPr="00D03EF7">
        <w:rPr>
          <w:rFonts w:ascii="Arial" w:hAnsi="Arial" w:cs="Arial"/>
          <w:bCs/>
          <w:color w:val="000000"/>
          <w:lang w:val="sv-SE"/>
        </w:rPr>
        <w:t>Sem</w:t>
      </w:r>
      <w:r w:rsidR="00137F34" w:rsidRPr="00D03EF7">
        <w:rPr>
          <w:rFonts w:ascii="Arial" w:hAnsi="Arial" w:cs="Arial"/>
          <w:bCs/>
          <w:color w:val="000000"/>
          <w:lang w:val="sv-SE"/>
        </w:rPr>
        <w:t>ester</w:t>
      </w:r>
      <w:r w:rsidRPr="00D03EF7">
        <w:rPr>
          <w:rFonts w:ascii="Arial" w:hAnsi="Arial" w:cs="Arial"/>
          <w:bCs/>
          <w:color w:val="000000"/>
          <w:lang w:val="sv-SE"/>
        </w:rPr>
        <w:t xml:space="preserve"> </w:t>
      </w:r>
      <w:r w:rsidR="00742CBC" w:rsidRPr="00D03EF7">
        <w:rPr>
          <w:rFonts w:ascii="Arial" w:hAnsi="Arial" w:cs="Arial"/>
          <w:bCs/>
          <w:color w:val="000000"/>
          <w:lang w:val="sv-SE"/>
        </w:rPr>
        <w:t xml:space="preserve">:  </w:t>
      </w:r>
      <w:r w:rsidR="006C7993">
        <w:rPr>
          <w:rFonts w:ascii="Arial" w:hAnsi="Arial" w:cs="Arial"/>
          <w:bCs/>
          <w:color w:val="000000"/>
          <w:lang w:val="sv-SE"/>
        </w:rPr>
        <w:t>V</w:t>
      </w:r>
      <w:r w:rsidR="00742CBC" w:rsidRPr="00D03EF7">
        <w:rPr>
          <w:rFonts w:ascii="Arial" w:hAnsi="Arial" w:cs="Arial"/>
          <w:bCs/>
          <w:color w:val="000000"/>
          <w:lang w:val="sv-SE"/>
        </w:rPr>
        <w:tab/>
      </w:r>
      <w:r w:rsidR="00742CBC" w:rsidRPr="00D03EF7">
        <w:rPr>
          <w:rFonts w:ascii="Arial" w:hAnsi="Arial" w:cs="Arial"/>
          <w:bCs/>
          <w:color w:val="000000"/>
          <w:lang w:val="sv-SE"/>
        </w:rPr>
        <w:tab/>
      </w:r>
      <w:r w:rsidR="00742CBC" w:rsidRPr="00D03EF7">
        <w:rPr>
          <w:rFonts w:ascii="Arial" w:hAnsi="Arial" w:cs="Arial"/>
          <w:bCs/>
          <w:color w:val="000000"/>
          <w:lang w:val="sv-SE"/>
        </w:rPr>
        <w:tab/>
      </w:r>
      <w:r w:rsidRPr="00D03EF7">
        <w:rPr>
          <w:rFonts w:ascii="Arial" w:hAnsi="Arial" w:cs="Arial"/>
          <w:bCs/>
          <w:color w:val="000000"/>
          <w:lang w:val="sv-SE"/>
        </w:rPr>
        <w:t xml:space="preserve">Sks : </w:t>
      </w:r>
      <w:r w:rsidR="00646997" w:rsidRPr="00D03EF7">
        <w:rPr>
          <w:rFonts w:ascii="Arial" w:hAnsi="Arial" w:cs="Arial"/>
          <w:bCs/>
          <w:color w:val="000000"/>
          <w:lang w:val="sv-SE"/>
        </w:rPr>
        <w:t>3</w:t>
      </w:r>
      <w:r w:rsidR="00742CBC" w:rsidRPr="00D03EF7">
        <w:rPr>
          <w:rFonts w:ascii="Arial" w:hAnsi="Arial" w:cs="Arial"/>
          <w:bCs/>
          <w:color w:val="000000"/>
          <w:lang w:val="sv-SE"/>
        </w:rPr>
        <w:t xml:space="preserve"> sks</w:t>
      </w:r>
      <w:r w:rsidRPr="00D03EF7">
        <w:rPr>
          <w:rFonts w:ascii="Arial" w:hAnsi="Arial" w:cs="Arial"/>
          <w:color w:val="000000"/>
          <w:lang w:val="sv-SE"/>
        </w:rPr>
        <w:t xml:space="preserve"> </w:t>
      </w:r>
      <w:r w:rsidRPr="00D03EF7">
        <w:rPr>
          <w:rFonts w:ascii="Arial" w:hAnsi="Arial" w:cs="Arial"/>
          <w:bCs/>
          <w:color w:val="000000"/>
          <w:lang w:val="sv-SE"/>
        </w:rPr>
        <w:t xml:space="preserve">     </w:t>
      </w:r>
      <w:r w:rsidR="009D5ABB">
        <w:rPr>
          <w:rFonts w:ascii="Arial" w:hAnsi="Arial" w:cs="Arial"/>
          <w:bCs/>
          <w:color w:val="000000"/>
          <w:lang w:val="sv-SE"/>
        </w:rPr>
        <w:tab/>
      </w:r>
      <w:r w:rsidR="009D5ABB">
        <w:rPr>
          <w:rFonts w:ascii="Arial" w:hAnsi="Arial" w:cs="Arial"/>
          <w:bCs/>
          <w:color w:val="000000"/>
          <w:lang w:val="sv-SE"/>
        </w:rPr>
        <w:tab/>
        <w:t>Kode : 31005</w:t>
      </w:r>
    </w:p>
    <w:p w:rsidR="00D03EF7" w:rsidRDefault="00D03EF7" w:rsidP="00646997">
      <w:pPr>
        <w:tabs>
          <w:tab w:val="left" w:pos="2200"/>
        </w:tabs>
        <w:rPr>
          <w:rFonts w:ascii="Arial" w:hAnsi="Arial" w:cs="Arial"/>
          <w:color w:val="000000"/>
          <w:lang w:val="sv-SE"/>
        </w:rPr>
      </w:pPr>
    </w:p>
    <w:p w:rsidR="006C7993" w:rsidRDefault="006C7993" w:rsidP="00646997">
      <w:pPr>
        <w:tabs>
          <w:tab w:val="left" w:pos="2200"/>
        </w:tabs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Dosen/Team Teaching  : Drs. Wawan Purwanto, MM</w:t>
      </w:r>
    </w:p>
    <w:p w:rsidR="006C7993" w:rsidRPr="00D03EF7" w:rsidRDefault="006C7993" w:rsidP="00646997">
      <w:pPr>
        <w:tabs>
          <w:tab w:val="left" w:pos="2200"/>
        </w:tabs>
        <w:rPr>
          <w:rFonts w:ascii="Arial" w:hAnsi="Arial" w:cs="Arial"/>
          <w:color w:val="000000"/>
          <w:lang w:val="sv-SE"/>
        </w:rPr>
      </w:pPr>
    </w:p>
    <w:p w:rsidR="00D03EF7" w:rsidRPr="00D03EF7" w:rsidRDefault="00A42C6C" w:rsidP="00F772B3">
      <w:pPr>
        <w:pStyle w:val="BodyText"/>
        <w:tabs>
          <w:tab w:val="left" w:pos="2200"/>
        </w:tabs>
        <w:spacing w:line="360" w:lineRule="auto"/>
        <w:ind w:left="2420" w:hanging="2420"/>
        <w:rPr>
          <w:rFonts w:ascii="Arial" w:hAnsi="Arial" w:cs="Arial"/>
          <w:sz w:val="22"/>
          <w:szCs w:val="22"/>
          <w:lang w:val="sv-SE"/>
        </w:rPr>
      </w:pPr>
      <w:r w:rsidRPr="00D03EF7">
        <w:rPr>
          <w:rFonts w:ascii="Arial" w:hAnsi="Arial" w:cs="Arial"/>
          <w:color w:val="000000"/>
          <w:sz w:val="22"/>
          <w:szCs w:val="22"/>
          <w:lang w:val="sv-SE"/>
        </w:rPr>
        <w:t xml:space="preserve">KOMPETENSI </w:t>
      </w:r>
      <w:r w:rsidR="00646997" w:rsidRPr="00D03EF7">
        <w:rPr>
          <w:rFonts w:ascii="Arial" w:hAnsi="Arial" w:cs="Arial"/>
          <w:color w:val="000000"/>
          <w:sz w:val="22"/>
          <w:szCs w:val="22"/>
          <w:lang w:val="sv-SE"/>
        </w:rPr>
        <w:tab/>
        <w:t>: m</w:t>
      </w:r>
      <w:r w:rsidR="00646997" w:rsidRPr="00D03EF7">
        <w:rPr>
          <w:rFonts w:ascii="Arial" w:hAnsi="Arial" w:cs="Arial"/>
          <w:sz w:val="22"/>
          <w:szCs w:val="22"/>
          <w:lang w:val="sv-SE"/>
        </w:rPr>
        <w:t>emberikan pandangan mengenai konsep manajemen perubahan  dan memahami pentingnya mengembangkan kemampuan sebagai tenaga profesiona</w:t>
      </w:r>
      <w:r w:rsidR="00F772B3">
        <w:rPr>
          <w:rFonts w:ascii="Arial" w:hAnsi="Arial" w:cs="Arial"/>
          <w:sz w:val="22"/>
          <w:szCs w:val="22"/>
          <w:lang w:val="sv-SE"/>
        </w:rPr>
        <w:t>l yang lebih kreatif dan kritis.</w:t>
      </w:r>
    </w:p>
    <w:p w:rsidR="00A42C6C" w:rsidRPr="00646997" w:rsidRDefault="00137F34" w:rsidP="00A42C6C">
      <w:pPr>
        <w:rPr>
          <w:color w:val="000000"/>
          <w:sz w:val="10"/>
          <w:lang w:val="sv-SE"/>
        </w:rPr>
      </w:pPr>
      <w:r w:rsidRPr="00646997">
        <w:rPr>
          <w:rFonts w:ascii="Arial" w:hAnsi="Arial" w:cs="Arial"/>
          <w:color w:val="000000"/>
          <w:sz w:val="28"/>
          <w:lang w:val="sv-SE"/>
        </w:rPr>
        <w:tab/>
      </w:r>
      <w:r w:rsidRPr="00646997">
        <w:rPr>
          <w:rFonts w:ascii="Arial" w:hAnsi="Arial" w:cs="Arial"/>
          <w:color w:val="000000"/>
          <w:sz w:val="28"/>
          <w:lang w:val="sv-SE"/>
        </w:rPr>
        <w:tab/>
      </w:r>
      <w:r w:rsidRPr="00646997">
        <w:rPr>
          <w:rFonts w:ascii="Arial" w:hAnsi="Arial" w:cs="Arial"/>
          <w:color w:val="000000"/>
          <w:sz w:val="28"/>
          <w:lang w:val="sv-SE"/>
        </w:rPr>
        <w:tab/>
        <w:t xml:space="preserve">  </w:t>
      </w:r>
    </w:p>
    <w:tbl>
      <w:tblPr>
        <w:tblW w:w="1375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2693"/>
        <w:gridCol w:w="2694"/>
        <w:gridCol w:w="2409"/>
        <w:gridCol w:w="1277"/>
      </w:tblGrid>
      <w:tr w:rsidR="00A42C6C" w:rsidRPr="00E67D82" w:rsidTr="006C7993">
        <w:trPr>
          <w:trHeight w:val="870"/>
          <w:tblHeader/>
        </w:trPr>
        <w:tc>
          <w:tcPr>
            <w:tcW w:w="141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(1)</w:t>
            </w:r>
          </w:p>
          <w:p w:rsidR="00A42C6C" w:rsidRPr="00E67D82" w:rsidRDefault="00A42C6C" w:rsidP="00E67D82">
            <w:pPr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TATAP MUKA 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KE</w:t>
            </w:r>
          </w:p>
        </w:tc>
        <w:tc>
          <w:tcPr>
            <w:tcW w:w="326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(2)</w:t>
            </w:r>
          </w:p>
          <w:p w:rsidR="00A42C6C" w:rsidRPr="00E67D82" w:rsidRDefault="00A42C6C" w:rsidP="00742CBC">
            <w:pPr>
              <w:ind w:left="-2" w:firstLine="2"/>
              <w:jc w:val="center"/>
            </w:pPr>
            <w:r w:rsidRPr="00E67D82">
              <w:rPr>
                <w:b/>
                <w:bCs/>
              </w:rPr>
              <w:t>KEMAMPUAN AKHIR YANG DIHARAPKAN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(3)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BAHAN KAJIAN</w:t>
            </w:r>
          </w:p>
        </w:tc>
        <w:tc>
          <w:tcPr>
            <w:tcW w:w="269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(4)</w:t>
            </w:r>
          </w:p>
          <w:p w:rsidR="00A42C6C" w:rsidRPr="00E67D82" w:rsidRDefault="00A42C6C" w:rsidP="00E67D82">
            <w:pPr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BENTUK 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PEMBELAJARAN</w:t>
            </w:r>
          </w:p>
        </w:tc>
        <w:tc>
          <w:tcPr>
            <w:tcW w:w="240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(5)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>KRITERIA</w:t>
            </w:r>
          </w:p>
          <w:p w:rsidR="00A42C6C" w:rsidRPr="00E67D82" w:rsidRDefault="00A42C6C" w:rsidP="00E67D82">
            <w:pPr>
              <w:jc w:val="center"/>
            </w:pPr>
            <w:r w:rsidRPr="00E67D82">
              <w:rPr>
                <w:b/>
                <w:bCs/>
              </w:rPr>
              <w:t xml:space="preserve"> PENILAIAN</w:t>
            </w:r>
          </w:p>
        </w:tc>
        <w:tc>
          <w:tcPr>
            <w:tcW w:w="127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CC1D02">
            <w:pPr>
              <w:jc w:val="center"/>
            </w:pPr>
            <w:r w:rsidRPr="00E67D82">
              <w:rPr>
                <w:b/>
                <w:bCs/>
              </w:rPr>
              <w:t>(6)</w:t>
            </w:r>
          </w:p>
          <w:p w:rsidR="00A42C6C" w:rsidRPr="00E67D82" w:rsidRDefault="00A42C6C" w:rsidP="00CC1D02">
            <w:pPr>
              <w:jc w:val="center"/>
            </w:pPr>
            <w:r w:rsidRPr="00E67D82">
              <w:rPr>
                <w:b/>
                <w:bCs/>
              </w:rPr>
              <w:t>BOBOT NILAI</w:t>
            </w:r>
          </w:p>
        </w:tc>
      </w:tr>
      <w:tr w:rsidR="00F772B3" w:rsidRPr="00E67D82" w:rsidTr="006C7993">
        <w:trPr>
          <w:trHeight w:val="305"/>
          <w:tblHeader/>
        </w:trPr>
        <w:tc>
          <w:tcPr>
            <w:tcW w:w="141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B3" w:rsidRPr="00E67D82" w:rsidRDefault="00F772B3" w:rsidP="00E6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B3" w:rsidRPr="00E67D82" w:rsidRDefault="00F772B3" w:rsidP="00E6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B3" w:rsidRPr="00E67D82" w:rsidRDefault="00F772B3" w:rsidP="00E6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B3" w:rsidRPr="00E67D82" w:rsidRDefault="00F772B3" w:rsidP="00E6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B3" w:rsidRPr="00E67D82" w:rsidRDefault="00F772B3" w:rsidP="00E6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B3" w:rsidRPr="00E67D82" w:rsidRDefault="00F772B3" w:rsidP="00CC1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42C6C" w:rsidRPr="00A128FF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67D82" w:rsidRDefault="00B37EB1" w:rsidP="0049396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67D82" w:rsidRDefault="0049396E" w:rsidP="0049396E">
            <w:pPr>
              <w:spacing w:line="240" w:lineRule="auto"/>
            </w:pPr>
            <w:r w:rsidRPr="00CC1D02">
              <w:rPr>
                <w:u w:val="single"/>
              </w:rPr>
              <w:t>Memahami</w:t>
            </w:r>
            <w:r>
              <w:t xml:space="preserve"> konsep manajemen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128FF" w:rsidRDefault="00A128FF" w:rsidP="0049396E">
            <w:pPr>
              <w:spacing w:line="240" w:lineRule="auto"/>
              <w:rPr>
                <w:lang w:val="sv-SE"/>
              </w:rPr>
            </w:pPr>
            <w:r w:rsidRPr="00A128FF">
              <w:rPr>
                <w:lang w:val="sv-SE"/>
              </w:rPr>
              <w:t>Definisi, konsep dan alasan dalam mempelajari manajemen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128FF" w:rsidRDefault="00856B83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Ceramah dan diskusi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128FF" w:rsidRDefault="00E9651A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Aktivitas individu dalam kelompok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128FF" w:rsidRDefault="00742CBC" w:rsidP="00CC1D0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141AB4">
              <w:rPr>
                <w:lang w:val="sv-SE"/>
              </w:rPr>
              <w:t>%</w:t>
            </w:r>
          </w:p>
        </w:tc>
      </w:tr>
      <w:tr w:rsidR="00A42C6C" w:rsidRPr="00561083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67D82" w:rsidRDefault="00B37EB1" w:rsidP="0049396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561083" w:rsidRDefault="0049396E" w:rsidP="0049396E">
            <w:pPr>
              <w:spacing w:line="240" w:lineRule="auto"/>
              <w:rPr>
                <w:lang w:val="sv-SE"/>
              </w:rPr>
            </w:pPr>
            <w:r w:rsidRPr="00561083">
              <w:rPr>
                <w:lang w:val="sv-SE"/>
              </w:rPr>
              <w:t xml:space="preserve">Dapat </w:t>
            </w:r>
            <w:r w:rsidRPr="00CC1D02">
              <w:rPr>
                <w:u w:val="single"/>
                <w:lang w:val="sv-SE"/>
              </w:rPr>
              <w:t>mengidentifikasi</w:t>
            </w:r>
            <w:r w:rsidRPr="00561083">
              <w:rPr>
                <w:lang w:val="sv-SE"/>
              </w:rPr>
              <w:t xml:space="preserve"> berbagai  jenis</w:t>
            </w:r>
            <w:r w:rsidR="00561083" w:rsidRPr="00561083">
              <w:rPr>
                <w:lang w:val="sv-SE"/>
              </w:rPr>
              <w:t xml:space="preserve"> dan tingkatan dalam  manajemen</w:t>
            </w:r>
            <w:r w:rsidRPr="00561083">
              <w:rPr>
                <w:lang w:val="sv-SE"/>
              </w:rPr>
              <w:t xml:space="preserve">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561083" w:rsidRDefault="00A128FF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sumber terjadinya perubahan dan jenis tingkatan manajemen perubahan dalam perusahaan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561083" w:rsidRDefault="00856B83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Diskusi dan presentasi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561083" w:rsidRDefault="00E9651A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Kualitas presentasi dan diskusi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561083" w:rsidRDefault="00742CBC" w:rsidP="00CC1D0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141AB4">
              <w:rPr>
                <w:lang w:val="sv-SE"/>
              </w:rPr>
              <w:t>%</w:t>
            </w:r>
          </w:p>
        </w:tc>
      </w:tr>
      <w:tr w:rsidR="0049396E" w:rsidRPr="00856B83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E67D82" w:rsidRDefault="0049396E" w:rsidP="0049396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49396E" w:rsidRDefault="00856B83" w:rsidP="00CC1D02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Mampu </w:t>
            </w:r>
            <w:r w:rsidRPr="00CC1D02">
              <w:rPr>
                <w:u w:val="single"/>
                <w:lang w:val="de-DE"/>
              </w:rPr>
              <w:t>menggunakan analisa SWOT</w:t>
            </w:r>
            <w:r>
              <w:rPr>
                <w:lang w:val="de-DE"/>
              </w:rPr>
              <w:t xml:space="preserve"> sebagai alat untuk mengidentifikasi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856B83" w:rsidRDefault="00856B83" w:rsidP="0049396E">
            <w:pPr>
              <w:spacing w:line="240" w:lineRule="auto"/>
            </w:pPr>
            <w:r>
              <w:t>Analisa  SWOT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856B83" w:rsidRDefault="00856B83" w:rsidP="0049396E">
            <w:pPr>
              <w:spacing w:line="240" w:lineRule="auto"/>
            </w:pPr>
            <w:r>
              <w:t>presentasi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856B83" w:rsidRDefault="00E9651A" w:rsidP="0049396E">
            <w:pPr>
              <w:spacing w:line="240" w:lineRule="auto"/>
            </w:pPr>
            <w:r>
              <w:t>Kualitas materi penyajian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856B83" w:rsidRDefault="00742CBC" w:rsidP="00CC1D02">
            <w:pPr>
              <w:spacing w:line="240" w:lineRule="auto"/>
              <w:jc w:val="center"/>
            </w:pPr>
            <w:r>
              <w:t>3</w:t>
            </w:r>
            <w:r w:rsidR="00141AB4">
              <w:t>%</w:t>
            </w:r>
          </w:p>
        </w:tc>
      </w:tr>
      <w:tr w:rsidR="0049396E" w:rsidRPr="00856B83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E67D82" w:rsidRDefault="0049396E" w:rsidP="0049396E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56B83" w:rsidRDefault="00CC1D02" w:rsidP="00856B83">
            <w:pPr>
              <w:spacing w:line="240" w:lineRule="auto"/>
              <w:rPr>
                <w:lang w:val="de-DE"/>
              </w:rPr>
            </w:pPr>
            <w:r w:rsidRPr="00CC1D02">
              <w:rPr>
                <w:u w:val="single"/>
                <w:lang w:val="de-DE"/>
              </w:rPr>
              <w:t xml:space="preserve">Menganalisa </w:t>
            </w:r>
            <w:r w:rsidR="00856B83">
              <w:rPr>
                <w:lang w:val="de-DE"/>
              </w:rPr>
              <w:t>manajemen perubahan dan hubungannya dengan pemecahan masalah dalam bisnis</w:t>
            </w:r>
          </w:p>
          <w:p w:rsidR="0049396E" w:rsidRPr="00E67D82" w:rsidRDefault="0049396E" w:rsidP="00856B83">
            <w:pPr>
              <w:spacing w:line="240" w:lineRule="auto"/>
            </w:pP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856B83" w:rsidRDefault="00856B83" w:rsidP="0049396E">
            <w:pPr>
              <w:spacing w:line="240" w:lineRule="auto"/>
              <w:rPr>
                <w:lang w:val="sv-SE"/>
              </w:rPr>
            </w:pPr>
            <w:r w:rsidRPr="00A128FF">
              <w:rPr>
                <w:lang w:val="sv-SE"/>
              </w:rPr>
              <w:t>Proses dalam melakukan manajemen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856B83" w:rsidRDefault="00856B83" w:rsidP="00856B83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Ceramah dan diskusi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856B83" w:rsidRDefault="00E9651A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Aktivitas tanya jawab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856B83" w:rsidRDefault="00742CBC" w:rsidP="00CC1D0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4,5</w:t>
            </w:r>
            <w:r w:rsidR="00141AB4">
              <w:rPr>
                <w:lang w:val="sv-SE"/>
              </w:rPr>
              <w:t>%</w:t>
            </w:r>
          </w:p>
        </w:tc>
      </w:tr>
      <w:tr w:rsidR="0049396E" w:rsidRPr="0049396E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E67D82" w:rsidRDefault="0049396E" w:rsidP="0049396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49396E" w:rsidRDefault="0049396E" w:rsidP="0049396E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Mampu </w:t>
            </w:r>
            <w:r w:rsidRPr="00CC1D02">
              <w:rPr>
                <w:u w:val="single"/>
                <w:lang w:val="de-DE"/>
              </w:rPr>
              <w:t>menganalisa</w:t>
            </w:r>
            <w:r>
              <w:rPr>
                <w:lang w:val="de-DE"/>
              </w:rPr>
              <w:t xml:space="preserve"> tahap-tahap dalam manajemen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49396E" w:rsidRDefault="00BC03CF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Tahap-tahap dalam manajemen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49396E" w:rsidRDefault="00856B83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Diskusi kelompok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49396E" w:rsidRDefault="00E9651A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Aktivitas individu dalam kelompok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396E" w:rsidRPr="0049396E" w:rsidRDefault="00742CBC" w:rsidP="00CC1D0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="00141AB4">
              <w:rPr>
                <w:lang w:val="sv-SE"/>
              </w:rPr>
              <w:t>%</w:t>
            </w:r>
          </w:p>
        </w:tc>
      </w:tr>
      <w:tr w:rsidR="00137F34" w:rsidRPr="00E9651A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49396E" w:rsidP="0049396E">
            <w:pPr>
              <w:spacing w:line="240" w:lineRule="auto"/>
            </w:pPr>
            <w:r>
              <w:t>Merencanakan i</w:t>
            </w:r>
            <w:r w:rsidRPr="00CC1D02">
              <w:rPr>
                <w:u w:val="single"/>
              </w:rPr>
              <w:t>mplementasi</w:t>
            </w:r>
            <w:r>
              <w:t xml:space="preserve"> dalam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A564DD" w:rsidP="0049396E">
            <w:pPr>
              <w:spacing w:line="240" w:lineRule="auto"/>
            </w:pPr>
            <w:r>
              <w:t>Implementasi dalam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15206F" w:rsidP="0049396E">
            <w:pPr>
              <w:spacing w:line="240" w:lineRule="auto"/>
            </w:pPr>
            <w:r>
              <w:t>Ceramah dan Tanya jawab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9651A" w:rsidRDefault="00E9651A" w:rsidP="0049396E">
            <w:pPr>
              <w:spacing w:line="240" w:lineRule="auto"/>
              <w:rPr>
                <w:lang w:val="sv-SE"/>
              </w:rPr>
            </w:pPr>
            <w:r w:rsidRPr="00E9651A">
              <w:rPr>
                <w:lang w:val="sv-SE"/>
              </w:rPr>
              <w:t>Aktivitas individu dalam Tanya jawab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9651A" w:rsidRDefault="00742CBC" w:rsidP="00CC1D0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141AB4">
              <w:rPr>
                <w:lang w:val="sv-SE"/>
              </w:rPr>
              <w:t>%</w:t>
            </w:r>
          </w:p>
        </w:tc>
      </w:tr>
      <w:tr w:rsidR="00137F34" w:rsidRPr="00E67D82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49396E" w:rsidP="0049396E">
            <w:pPr>
              <w:spacing w:line="240" w:lineRule="auto"/>
            </w:pPr>
            <w:r>
              <w:t>Bertindak terhadap suatu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A564DD" w:rsidP="0049396E">
            <w:pPr>
              <w:spacing w:line="240" w:lineRule="auto"/>
            </w:pPr>
            <w:r>
              <w:t>Strategi bertindak dalam menghadapi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15206F" w:rsidP="0049396E">
            <w:pPr>
              <w:spacing w:line="240" w:lineRule="auto"/>
            </w:pPr>
            <w:r>
              <w:t>presentasi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E9651A" w:rsidP="0049396E">
            <w:pPr>
              <w:spacing w:line="240" w:lineRule="auto"/>
            </w:pPr>
            <w:r>
              <w:t>Kualitas penyajian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742CBC" w:rsidP="00CC1D02">
            <w:pPr>
              <w:spacing w:line="240" w:lineRule="auto"/>
              <w:jc w:val="center"/>
            </w:pPr>
            <w:r>
              <w:t>4</w:t>
            </w:r>
            <w:r w:rsidR="00141AB4">
              <w:t>%</w:t>
            </w:r>
          </w:p>
        </w:tc>
      </w:tr>
      <w:tr w:rsidR="00137F34" w:rsidRPr="00E67D82" w:rsidTr="006C7993">
        <w:trPr>
          <w:trHeight w:val="850"/>
        </w:trPr>
        <w:tc>
          <w:tcPr>
            <w:tcW w:w="141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t>UTS</w:t>
            </w:r>
          </w:p>
        </w:tc>
        <w:tc>
          <w:tcPr>
            <w:tcW w:w="2693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137F34" w:rsidP="0049396E">
            <w:pPr>
              <w:spacing w:line="240" w:lineRule="auto"/>
            </w:pPr>
          </w:p>
        </w:tc>
        <w:tc>
          <w:tcPr>
            <w:tcW w:w="269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137F34" w:rsidP="0049396E">
            <w:pPr>
              <w:spacing w:line="240" w:lineRule="auto"/>
            </w:pPr>
          </w:p>
        </w:tc>
        <w:tc>
          <w:tcPr>
            <w:tcW w:w="240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137F34" w:rsidP="0049396E">
            <w:pPr>
              <w:spacing w:line="240" w:lineRule="auto"/>
            </w:pPr>
          </w:p>
        </w:tc>
        <w:tc>
          <w:tcPr>
            <w:tcW w:w="127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CC1D02" w:rsidP="00CC1D02">
            <w:pPr>
              <w:spacing w:line="240" w:lineRule="auto"/>
              <w:jc w:val="center"/>
            </w:pPr>
            <w:r>
              <w:t>20%</w:t>
            </w:r>
          </w:p>
        </w:tc>
      </w:tr>
      <w:tr w:rsidR="00137F34" w:rsidRPr="00A564DD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A564DD" w:rsidRDefault="00A564DD" w:rsidP="0049396E">
            <w:pPr>
              <w:spacing w:line="240" w:lineRule="auto"/>
            </w:pPr>
            <w:r w:rsidRPr="00A564DD">
              <w:t>Dapat mengidentifikasi masalah dan kebutuhan</w:t>
            </w:r>
            <w:r w:rsidR="00BC03CF">
              <w:t xml:space="preserve"> yang diperlu</w:t>
            </w:r>
            <w:r>
              <w:t>kan untuk berubah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A564DD" w:rsidRDefault="00A564DD" w:rsidP="0049396E">
            <w:pPr>
              <w:spacing w:line="240" w:lineRule="auto"/>
            </w:pPr>
            <w:r w:rsidRPr="00A564DD">
              <w:t>Identifikasi masalah dan kebutuhan yang diperlukan untuk berubah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A564DD" w:rsidRDefault="0015206F" w:rsidP="0049396E">
            <w:pPr>
              <w:spacing w:line="240" w:lineRule="auto"/>
            </w:pPr>
            <w:r>
              <w:t xml:space="preserve">Presentasi 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A564DD" w:rsidRDefault="00E9651A" w:rsidP="0049396E">
            <w:pPr>
              <w:spacing w:line="240" w:lineRule="auto"/>
            </w:pPr>
            <w:r>
              <w:t>Kualitas penyajian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A564DD" w:rsidRDefault="00742CBC" w:rsidP="00CC1D02">
            <w:pPr>
              <w:spacing w:line="240" w:lineRule="auto"/>
              <w:jc w:val="center"/>
            </w:pPr>
            <w:r>
              <w:t>3</w:t>
            </w:r>
            <w:r w:rsidR="00141AB4">
              <w:t>%</w:t>
            </w:r>
          </w:p>
        </w:tc>
      </w:tr>
      <w:tr w:rsidR="003E2AAE" w:rsidRPr="00E67D82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AAE" w:rsidRPr="00E67D82" w:rsidRDefault="00B37EB1" w:rsidP="0049396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AAE" w:rsidRPr="00E67D82" w:rsidRDefault="00A128FF" w:rsidP="0049396E">
            <w:pPr>
              <w:spacing w:line="240" w:lineRule="auto"/>
            </w:pPr>
            <w:r>
              <w:t xml:space="preserve">Mampu </w:t>
            </w:r>
            <w:r w:rsidRPr="00CC1D02">
              <w:rPr>
                <w:u w:val="single"/>
              </w:rPr>
              <w:t>mengatasi resistens</w:t>
            </w:r>
            <w:r>
              <w:t>i dalam manajemen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AAE" w:rsidRPr="00E67D82" w:rsidRDefault="00A128FF" w:rsidP="0049396E">
            <w:pPr>
              <w:spacing w:line="240" w:lineRule="auto"/>
            </w:pPr>
            <w:r>
              <w:t>Resistensi dalam manajemen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AAE" w:rsidRPr="00E67D82" w:rsidRDefault="0015206F" w:rsidP="0049396E">
            <w:pPr>
              <w:spacing w:line="240" w:lineRule="auto"/>
            </w:pPr>
            <w:r>
              <w:t>Ceramah dan diskusi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AAE" w:rsidRPr="00E67D82" w:rsidRDefault="00E9651A" w:rsidP="0049396E">
            <w:pPr>
              <w:spacing w:line="240" w:lineRule="auto"/>
            </w:pPr>
            <w:r>
              <w:t>Aktivitas dalam diskusi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AAE" w:rsidRPr="00E67D82" w:rsidRDefault="00742CBC" w:rsidP="00CC1D02">
            <w:pPr>
              <w:spacing w:line="240" w:lineRule="auto"/>
              <w:jc w:val="center"/>
            </w:pPr>
            <w:r>
              <w:t>3</w:t>
            </w:r>
            <w:r w:rsidR="00141AB4">
              <w:t>%</w:t>
            </w:r>
          </w:p>
        </w:tc>
      </w:tr>
      <w:tr w:rsidR="005A4FB3" w:rsidRPr="00E67D82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A255CF" w:rsidP="0049396E">
            <w:pPr>
              <w:spacing w:line="240" w:lineRule="auto"/>
            </w:pPr>
            <w:r>
              <w:t>Mengorganisasi manajemen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DF7A50" w:rsidP="0049396E">
            <w:pPr>
              <w:spacing w:line="240" w:lineRule="auto"/>
            </w:pPr>
            <w:r>
              <w:t>Kesiapan, reengineering dan resilience (fleksibilitas)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15206F" w:rsidP="0049396E">
            <w:pPr>
              <w:spacing w:line="240" w:lineRule="auto"/>
            </w:pPr>
            <w:r>
              <w:t>ceramah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E9651A" w:rsidP="0049396E">
            <w:pPr>
              <w:spacing w:line="240" w:lineRule="auto"/>
            </w:pPr>
            <w:r>
              <w:t>Aktivitas bertanya dalam kelas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742CBC" w:rsidP="00CC1D02">
            <w:pPr>
              <w:spacing w:line="240" w:lineRule="auto"/>
              <w:jc w:val="center"/>
            </w:pPr>
            <w:r>
              <w:t>3</w:t>
            </w:r>
            <w:r w:rsidR="00141AB4">
              <w:t>%</w:t>
            </w:r>
          </w:p>
        </w:tc>
      </w:tr>
      <w:tr w:rsidR="00137F34" w:rsidRPr="00DF7A50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561083" w:rsidRDefault="00561083" w:rsidP="0049396E">
            <w:pPr>
              <w:spacing w:line="240" w:lineRule="auto"/>
            </w:pPr>
            <w:r w:rsidRPr="00561083">
              <w:t>M</w:t>
            </w:r>
            <w:r w:rsidR="00DF7A50">
              <w:t xml:space="preserve">ampu </w:t>
            </w:r>
            <w:r w:rsidR="00DF7A50" w:rsidRPr="00CC1D02">
              <w:rPr>
                <w:u w:val="single"/>
              </w:rPr>
              <w:t>memilih kompetens</w:t>
            </w:r>
            <w:r w:rsidR="00DF7A50">
              <w:t xml:space="preserve">i yang harus dikuasai </w:t>
            </w:r>
            <w:r w:rsidRPr="00561083">
              <w:t xml:space="preserve"> untuk menghadapi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DF7A50" w:rsidRDefault="00DF7A50" w:rsidP="0049396E">
            <w:pPr>
              <w:spacing w:line="240" w:lineRule="auto"/>
              <w:rPr>
                <w:lang w:val="sv-SE"/>
              </w:rPr>
            </w:pPr>
            <w:r w:rsidRPr="00DF7A50">
              <w:rPr>
                <w:lang w:val="sv-SE"/>
              </w:rPr>
              <w:t>Fungsi-fungsi dalam manajemen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DF7A50" w:rsidRDefault="0015206F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Diskusi dan presentasi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DF7A50" w:rsidRDefault="00E9651A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Kualitas penyajian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DF7A50" w:rsidRDefault="00742CBC" w:rsidP="00CC1D0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141AB4">
              <w:rPr>
                <w:lang w:val="sv-SE"/>
              </w:rPr>
              <w:t>%</w:t>
            </w:r>
          </w:p>
        </w:tc>
      </w:tr>
      <w:tr w:rsidR="00137F34" w:rsidRPr="00E67D82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DF7A50" w:rsidP="0049396E">
            <w:pPr>
              <w:spacing w:line="240" w:lineRule="auto"/>
            </w:pPr>
            <w:r>
              <w:t xml:space="preserve">Mampu </w:t>
            </w:r>
            <w:r w:rsidRPr="00CC1D02">
              <w:rPr>
                <w:u w:val="single"/>
              </w:rPr>
              <w:t>menggunakan kepemimpinan</w:t>
            </w:r>
            <w:r>
              <w:t xml:space="preserve"> dan komunikasi dalam manajemen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DF7A50" w:rsidP="0049396E">
            <w:pPr>
              <w:spacing w:line="240" w:lineRule="auto"/>
            </w:pPr>
            <w:r>
              <w:t>Kepemimpinan dan komunikasi dalam manajemen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D61158" w:rsidP="0049396E">
            <w:pPr>
              <w:spacing w:line="240" w:lineRule="auto"/>
            </w:pPr>
            <w:r>
              <w:t>Studi kasus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D61158" w:rsidP="0049396E">
            <w:pPr>
              <w:spacing w:line="240" w:lineRule="auto"/>
            </w:pPr>
            <w:r>
              <w:t>Kedalam pemecahan masalah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742CBC" w:rsidP="00CC1D02">
            <w:pPr>
              <w:spacing w:line="240" w:lineRule="auto"/>
              <w:jc w:val="center"/>
            </w:pPr>
            <w:r>
              <w:t>4,5</w:t>
            </w:r>
            <w:r w:rsidR="00141AB4">
              <w:t>%</w:t>
            </w:r>
          </w:p>
        </w:tc>
      </w:tr>
      <w:tr w:rsidR="00137F34" w:rsidRPr="00561083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E67D82" w:rsidRDefault="00B37EB1" w:rsidP="0049396E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561083" w:rsidRDefault="00561083" w:rsidP="0049396E">
            <w:pPr>
              <w:spacing w:line="240" w:lineRule="auto"/>
              <w:rPr>
                <w:lang w:val="sv-SE"/>
              </w:rPr>
            </w:pPr>
            <w:r w:rsidRPr="00CC1D02">
              <w:rPr>
                <w:u w:val="single"/>
                <w:lang w:val="sv-SE"/>
              </w:rPr>
              <w:t>Menguasai manajemen</w:t>
            </w:r>
            <w:r w:rsidRPr="00561083">
              <w:rPr>
                <w:lang w:val="sv-SE"/>
              </w:rPr>
              <w:t xml:space="preserve"> konflik sebagai alat dalam manajemen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561083" w:rsidRDefault="00561083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Manajemen konflik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561083" w:rsidRDefault="00D61158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Studi kasus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561083" w:rsidRDefault="00D61158" w:rsidP="0049396E">
            <w:pPr>
              <w:spacing w:line="240" w:lineRule="auto"/>
              <w:rPr>
                <w:lang w:val="sv-SE"/>
              </w:rPr>
            </w:pPr>
            <w:r>
              <w:rPr>
                <w:lang w:val="sv-SE"/>
              </w:rPr>
              <w:t>Kedalaman dalam memecahkan masalah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F34" w:rsidRPr="00561083" w:rsidRDefault="00742CBC" w:rsidP="00CC1D02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4,5</w:t>
            </w:r>
            <w:r w:rsidR="00141AB4">
              <w:rPr>
                <w:lang w:val="sv-SE"/>
              </w:rPr>
              <w:t>%</w:t>
            </w:r>
          </w:p>
        </w:tc>
      </w:tr>
      <w:tr w:rsidR="00A42C6C" w:rsidRPr="00E67D82" w:rsidTr="006C7993">
        <w:trPr>
          <w:trHeight w:val="850"/>
        </w:trPr>
        <w:tc>
          <w:tcPr>
            <w:tcW w:w="14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67D82" w:rsidRDefault="00B37EB1" w:rsidP="0049396E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DF7A50" w:rsidRDefault="00561083" w:rsidP="0049396E">
            <w:pPr>
              <w:spacing w:line="240" w:lineRule="auto"/>
              <w:rPr>
                <w:lang w:val="es-ES"/>
              </w:rPr>
            </w:pPr>
            <w:r w:rsidRPr="00EE6A36">
              <w:rPr>
                <w:u w:val="single"/>
                <w:lang w:val="es-ES"/>
              </w:rPr>
              <w:t>Memahami</w:t>
            </w:r>
            <w:r w:rsidRPr="00DF7A50">
              <w:rPr>
                <w:lang w:val="es-ES"/>
              </w:rPr>
              <w:t xml:space="preserve"> organisasi dan </w:t>
            </w:r>
            <w:r w:rsidR="00DF7A50" w:rsidRPr="00DF7A50">
              <w:rPr>
                <w:lang w:val="es-ES"/>
              </w:rPr>
              <w:t xml:space="preserve">transformasi budaya </w:t>
            </w:r>
            <w:r w:rsidRPr="00DF7A50">
              <w:rPr>
                <w:lang w:val="es-ES"/>
              </w:rPr>
              <w:t xml:space="preserve"> dalam manajemen perubahan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67D82" w:rsidRDefault="00561083" w:rsidP="0049396E">
            <w:pPr>
              <w:spacing w:line="240" w:lineRule="auto"/>
            </w:pPr>
            <w:r>
              <w:t>Organisasi dan transformasi budaya dalam manajemen perubahan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67D82" w:rsidRDefault="00D61158" w:rsidP="0049396E">
            <w:pPr>
              <w:spacing w:line="240" w:lineRule="auto"/>
            </w:pPr>
            <w:r>
              <w:t>Studi kasus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67D82" w:rsidRDefault="00D61158" w:rsidP="0049396E">
            <w:pPr>
              <w:spacing w:line="240" w:lineRule="auto"/>
            </w:pPr>
            <w:r>
              <w:t>Kedalaman dalam memecahkan masalah</w:t>
            </w:r>
          </w:p>
        </w:tc>
        <w:tc>
          <w:tcPr>
            <w:tcW w:w="12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E67D82" w:rsidRDefault="00742CBC" w:rsidP="00CC1D02">
            <w:pPr>
              <w:spacing w:line="240" w:lineRule="auto"/>
              <w:jc w:val="center"/>
            </w:pPr>
            <w:r>
              <w:t>4,5</w:t>
            </w:r>
            <w:r w:rsidR="00141AB4">
              <w:t>%</w:t>
            </w:r>
          </w:p>
        </w:tc>
      </w:tr>
      <w:tr w:rsidR="00A42C6C" w:rsidRPr="00E67D82" w:rsidTr="006C7993">
        <w:trPr>
          <w:trHeight w:val="459"/>
        </w:trPr>
        <w:tc>
          <w:tcPr>
            <w:tcW w:w="141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B67FA" w:rsidRDefault="00B37EB1" w:rsidP="0049396E">
            <w:pPr>
              <w:spacing w:line="240" w:lineRule="auto"/>
              <w:jc w:val="center"/>
            </w:pPr>
            <w:r w:rsidRPr="001B67FA">
              <w:t>16</w:t>
            </w:r>
          </w:p>
        </w:tc>
        <w:tc>
          <w:tcPr>
            <w:tcW w:w="326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B67FA" w:rsidRDefault="00B37EB1" w:rsidP="0049396E">
            <w:pPr>
              <w:spacing w:line="240" w:lineRule="auto"/>
              <w:jc w:val="center"/>
            </w:pPr>
            <w:r w:rsidRPr="001B67FA">
              <w:t>UAS</w:t>
            </w:r>
          </w:p>
        </w:tc>
        <w:tc>
          <w:tcPr>
            <w:tcW w:w="2693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B67FA" w:rsidRDefault="00A42C6C" w:rsidP="0049396E">
            <w:pPr>
              <w:spacing w:line="240" w:lineRule="auto"/>
            </w:pPr>
          </w:p>
        </w:tc>
        <w:tc>
          <w:tcPr>
            <w:tcW w:w="269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B67FA" w:rsidRDefault="00A42C6C" w:rsidP="0049396E">
            <w:pPr>
              <w:spacing w:line="240" w:lineRule="auto"/>
            </w:pPr>
          </w:p>
        </w:tc>
        <w:tc>
          <w:tcPr>
            <w:tcW w:w="2409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B67FA" w:rsidRDefault="00A42C6C" w:rsidP="0049396E">
            <w:pPr>
              <w:spacing w:line="240" w:lineRule="auto"/>
            </w:pPr>
          </w:p>
        </w:tc>
        <w:tc>
          <w:tcPr>
            <w:tcW w:w="127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B67FA" w:rsidRDefault="00E646DC" w:rsidP="00CC1D02">
            <w:pPr>
              <w:spacing w:line="240" w:lineRule="auto"/>
              <w:jc w:val="center"/>
            </w:pPr>
            <w:r>
              <w:t>2</w:t>
            </w:r>
            <w:r w:rsidR="00141AB4" w:rsidRPr="001B67FA">
              <w:t>0%</w:t>
            </w:r>
          </w:p>
        </w:tc>
      </w:tr>
    </w:tbl>
    <w:p w:rsidR="006C7993" w:rsidRDefault="006C7993" w:rsidP="00F772B3">
      <w:pPr>
        <w:rPr>
          <w:rFonts w:ascii="Arial" w:hAnsi="Arial" w:cs="Arial"/>
          <w:color w:val="000000"/>
        </w:rPr>
      </w:pPr>
    </w:p>
    <w:p w:rsidR="006C7993" w:rsidRDefault="006C7993" w:rsidP="00F772B3">
      <w:pPr>
        <w:rPr>
          <w:rFonts w:ascii="Arial" w:hAnsi="Arial" w:cs="Arial"/>
          <w:color w:val="000000"/>
        </w:rPr>
      </w:pPr>
    </w:p>
    <w:p w:rsidR="00F772B3" w:rsidRPr="003651D2" w:rsidRDefault="00F772B3" w:rsidP="00F772B3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3651D2">
        <w:rPr>
          <w:rFonts w:ascii="Arial" w:hAnsi="Arial" w:cs="Arial"/>
          <w:i/>
          <w:color w:val="000000"/>
        </w:rPr>
        <w:t>catata</w:t>
      </w:r>
      <w:r>
        <w:rPr>
          <w:rFonts w:ascii="Arial" w:hAnsi="Arial" w:cs="Arial"/>
          <w:i/>
          <w:color w:val="000000"/>
        </w:rPr>
        <w:t>n :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F772B3" w:rsidRDefault="00F772B3" w:rsidP="00F772B3">
      <w:pPr>
        <w:rPr>
          <w:rFonts w:ascii="Arial" w:hAnsi="Arial" w:cs="Arial"/>
          <w:b/>
          <w:color w:val="000000"/>
        </w:rPr>
      </w:pPr>
    </w:p>
    <w:p w:rsidR="00F772B3" w:rsidRDefault="00F772B3" w:rsidP="00F772B3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t>Kompenen Penil</w:t>
      </w:r>
      <w:r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 Rincian besarnya bobot penilaian mata kuliah, acuan secara rinci adalah sebagai berikut:</w:t>
      </w:r>
    </w:p>
    <w:p w:rsidR="00F772B3" w:rsidRDefault="00F772B3" w:rsidP="00F772B3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  <w:t>: 10%</w:t>
      </w:r>
    </w:p>
    <w:p w:rsidR="00F772B3" w:rsidRDefault="00F772B3" w:rsidP="00F772B3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20%</w:t>
      </w:r>
    </w:p>
    <w:p w:rsidR="00F772B3" w:rsidRDefault="00F772B3" w:rsidP="00F772B3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30%</w:t>
      </w:r>
    </w:p>
    <w:p w:rsidR="00F772B3" w:rsidRPr="007B5BEC" w:rsidRDefault="00F772B3" w:rsidP="00F772B3">
      <w:pPr>
        <w:numPr>
          <w:ilvl w:val="0"/>
          <w:numId w:val="16"/>
        </w:numPr>
        <w:spacing w:line="360" w:lineRule="auto"/>
        <w:ind w:left="5245" w:hanging="2617"/>
        <w:rPr>
          <w:rFonts w:ascii="Arial" w:hAnsi="Arial" w:cs="Arial"/>
          <w:b/>
        </w:rPr>
      </w:pPr>
      <w:r w:rsidRPr="007B5BEC">
        <w:rPr>
          <w:rFonts w:ascii="Arial" w:hAnsi="Arial" w:cs="Arial"/>
          <w:color w:val="000000"/>
        </w:rPr>
        <w:t xml:space="preserve">Tugas-Tugas  : 40%  </w:t>
      </w:r>
    </w:p>
    <w:p w:rsidR="00A357AC" w:rsidRDefault="00A357AC" w:rsidP="00A962E8">
      <w:pPr>
        <w:rPr>
          <w:rFonts w:ascii="Arial" w:hAnsi="Arial" w:cs="Arial"/>
        </w:rPr>
      </w:pPr>
    </w:p>
    <w:p w:rsidR="00A962E8" w:rsidRPr="00A357AC" w:rsidRDefault="006C7993" w:rsidP="00A962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962E8" w:rsidRPr="00A357AC">
        <w:rPr>
          <w:rFonts w:ascii="Arial" w:hAnsi="Arial" w:cs="Arial"/>
        </w:rPr>
        <w:lastRenderedPageBreak/>
        <w:t>Daftar Pustaka :</w:t>
      </w:r>
    </w:p>
    <w:p w:rsidR="00962055" w:rsidRPr="00FE1C78" w:rsidRDefault="00962055" w:rsidP="00962055">
      <w:pPr>
        <w:rPr>
          <w:rFonts w:ascii="Arial" w:hAnsi="Arial" w:cs="Arial"/>
          <w:color w:val="000000"/>
          <w:sz w:val="20"/>
          <w:szCs w:val="20"/>
        </w:rPr>
      </w:pPr>
      <w:r w:rsidRPr="00FE1C7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35258" w:rsidRPr="00A357AC" w:rsidRDefault="00962055" w:rsidP="00225540">
      <w:pPr>
        <w:numPr>
          <w:ilvl w:val="0"/>
          <w:numId w:val="1"/>
        </w:numPr>
        <w:tabs>
          <w:tab w:val="num" w:pos="440"/>
        </w:tabs>
        <w:spacing w:line="360" w:lineRule="auto"/>
        <w:rPr>
          <w:rFonts w:ascii="Arial" w:hAnsi="Arial" w:cs="Arial"/>
        </w:rPr>
      </w:pPr>
      <w:r w:rsidRPr="00A357AC">
        <w:rPr>
          <w:rFonts w:ascii="Arial" w:hAnsi="Arial" w:cs="Arial"/>
          <w:color w:val="000000"/>
        </w:rPr>
        <w:t>Jones,</w:t>
      </w:r>
      <w:r w:rsidRPr="00A357AC">
        <w:rPr>
          <w:rFonts w:ascii="Arial" w:hAnsi="Arial" w:cs="Arial"/>
          <w:color w:val="000000"/>
          <w:u w:val="single"/>
        </w:rPr>
        <w:t>organization design, process reengineering, and change management</w:t>
      </w:r>
      <w:r w:rsidRPr="00A357AC">
        <w:rPr>
          <w:rFonts w:ascii="Arial" w:hAnsi="Arial" w:cs="Arial"/>
          <w:color w:val="000000"/>
        </w:rPr>
        <w:t xml:space="preserve"> New York: </w:t>
      </w:r>
      <w:r w:rsidR="00225540" w:rsidRPr="00A357AC">
        <w:rPr>
          <w:rFonts w:ascii="Arial" w:hAnsi="Arial" w:cs="Arial"/>
          <w:color w:val="000000"/>
        </w:rPr>
        <w:t>Mc Graw Hill 2000</w:t>
      </w:r>
    </w:p>
    <w:p w:rsidR="00A42C6C" w:rsidRPr="00A357AC" w:rsidRDefault="00962055" w:rsidP="00225540">
      <w:pPr>
        <w:pStyle w:val="FootnoteText"/>
        <w:spacing w:line="360" w:lineRule="auto"/>
        <w:rPr>
          <w:rFonts w:ascii="Arial" w:hAnsi="Arial" w:cs="Arial"/>
          <w:sz w:val="22"/>
          <w:szCs w:val="22"/>
        </w:rPr>
      </w:pPr>
      <w:r w:rsidRPr="00A357AC">
        <w:rPr>
          <w:rStyle w:val="FootnoteReference"/>
          <w:rFonts w:ascii="Arial" w:hAnsi="Arial" w:cs="Arial"/>
          <w:sz w:val="22"/>
          <w:szCs w:val="22"/>
          <w:vertAlign w:val="baseline"/>
        </w:rPr>
        <w:t>2</w:t>
      </w:r>
      <w:r w:rsidR="00556B62" w:rsidRPr="00A357AC">
        <w:rPr>
          <w:rFonts w:ascii="Arial" w:hAnsi="Arial" w:cs="Arial"/>
          <w:sz w:val="22"/>
          <w:szCs w:val="22"/>
        </w:rPr>
        <w:t>.</w:t>
      </w:r>
      <w:r w:rsidRPr="00A357AC">
        <w:rPr>
          <w:rFonts w:ascii="Arial" w:hAnsi="Arial" w:cs="Arial"/>
          <w:sz w:val="22"/>
          <w:szCs w:val="22"/>
        </w:rPr>
        <w:t xml:space="preserve"> Diane Mayo and Jeanne Goodrich.  </w:t>
      </w:r>
      <w:r w:rsidRPr="00A357AC">
        <w:rPr>
          <w:rFonts w:ascii="Arial" w:hAnsi="Arial" w:cs="Arial"/>
          <w:sz w:val="22"/>
          <w:szCs w:val="22"/>
          <w:u w:val="single"/>
        </w:rPr>
        <w:t>Staffing for Results:  A Guide to Working Smarter</w:t>
      </w:r>
      <w:r w:rsidRPr="00A357AC">
        <w:rPr>
          <w:rFonts w:ascii="Arial" w:hAnsi="Arial" w:cs="Arial"/>
          <w:sz w:val="22"/>
          <w:szCs w:val="22"/>
        </w:rPr>
        <w:t>. Chicago: ALA, 2002</w:t>
      </w:r>
    </w:p>
    <w:p w:rsidR="00556B62" w:rsidRPr="00A357AC" w:rsidRDefault="00556B62" w:rsidP="00225540">
      <w:pPr>
        <w:spacing w:line="360" w:lineRule="auto"/>
        <w:ind w:left="220" w:hanging="220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3. Roger Fisher and William Ury.  </w:t>
      </w:r>
      <w:r w:rsidRPr="00A357AC">
        <w:rPr>
          <w:rFonts w:ascii="Arial" w:hAnsi="Arial" w:cs="Arial"/>
          <w:u w:val="single"/>
        </w:rPr>
        <w:t>Getting to Yes: Negotiating Agreement Without Giving In</w:t>
      </w:r>
      <w:r w:rsidRPr="00A357AC">
        <w:rPr>
          <w:rFonts w:ascii="Arial" w:hAnsi="Arial" w:cs="Arial"/>
        </w:rPr>
        <w:t>.New York: Penguin Books, 1999</w:t>
      </w:r>
    </w:p>
    <w:p w:rsidR="003C3E51" w:rsidRPr="00A357AC" w:rsidRDefault="003C3E51" w:rsidP="00225540">
      <w:pPr>
        <w:pStyle w:val="FootnoteText"/>
        <w:spacing w:line="360" w:lineRule="auto"/>
        <w:rPr>
          <w:rFonts w:ascii="Arial" w:hAnsi="Arial" w:cs="Arial"/>
          <w:sz w:val="22"/>
          <w:szCs w:val="22"/>
        </w:rPr>
      </w:pPr>
      <w:r w:rsidRPr="00A357AC">
        <w:rPr>
          <w:rFonts w:ascii="Arial" w:hAnsi="Arial" w:cs="Arial"/>
          <w:sz w:val="22"/>
          <w:szCs w:val="22"/>
        </w:rPr>
        <w:t xml:space="preserve">4. Michael Hammer dan James Champy, </w:t>
      </w:r>
      <w:r w:rsidRPr="00A357AC">
        <w:rPr>
          <w:rFonts w:ascii="Arial" w:hAnsi="Arial" w:cs="Arial"/>
          <w:sz w:val="22"/>
          <w:szCs w:val="22"/>
          <w:u w:val="single"/>
        </w:rPr>
        <w:t xml:space="preserve">Reengineering the Corporation : A Manifesto for Business </w:t>
      </w:r>
      <w:r w:rsidRPr="00A357AC">
        <w:rPr>
          <w:rFonts w:ascii="Arial" w:hAnsi="Arial" w:cs="Arial"/>
          <w:sz w:val="22"/>
          <w:szCs w:val="22"/>
        </w:rPr>
        <w:t>Revolution, 2004</w:t>
      </w:r>
    </w:p>
    <w:p w:rsidR="003C3E51" w:rsidRPr="00A357AC" w:rsidRDefault="003C3E51" w:rsidP="00225540">
      <w:pPr>
        <w:pStyle w:val="FootnoteText"/>
        <w:spacing w:line="360" w:lineRule="auto"/>
        <w:rPr>
          <w:rFonts w:ascii="Arial" w:hAnsi="Arial" w:cs="Arial"/>
          <w:sz w:val="22"/>
          <w:szCs w:val="22"/>
        </w:rPr>
      </w:pPr>
      <w:r w:rsidRPr="00A357AC">
        <w:rPr>
          <w:rFonts w:ascii="Arial" w:hAnsi="Arial" w:cs="Arial"/>
          <w:sz w:val="22"/>
          <w:szCs w:val="22"/>
        </w:rPr>
        <w:t xml:space="preserve">5. Stephen P. Robbins, </w:t>
      </w:r>
      <w:r w:rsidRPr="00A357AC">
        <w:rPr>
          <w:rFonts w:ascii="Arial" w:hAnsi="Arial" w:cs="Arial"/>
          <w:sz w:val="22"/>
          <w:szCs w:val="22"/>
          <w:u w:val="single"/>
        </w:rPr>
        <w:t>Organizational Behavior, Concepts, Controversies, and Application</w:t>
      </w:r>
      <w:r w:rsidRPr="00A357AC">
        <w:rPr>
          <w:rFonts w:ascii="Arial" w:hAnsi="Arial" w:cs="Arial"/>
          <w:sz w:val="22"/>
          <w:szCs w:val="22"/>
        </w:rPr>
        <w:t>, 2001</w:t>
      </w:r>
    </w:p>
    <w:p w:rsidR="003C3E51" w:rsidRPr="00A357AC" w:rsidRDefault="003C3E51" w:rsidP="00225540">
      <w:pPr>
        <w:pStyle w:val="FootnoteText"/>
        <w:spacing w:line="360" w:lineRule="auto"/>
        <w:rPr>
          <w:rFonts w:ascii="Arial" w:hAnsi="Arial" w:cs="Arial"/>
          <w:sz w:val="22"/>
          <w:szCs w:val="22"/>
        </w:rPr>
      </w:pPr>
      <w:r w:rsidRPr="00A357AC">
        <w:rPr>
          <w:rFonts w:ascii="Arial" w:hAnsi="Arial" w:cs="Arial"/>
          <w:sz w:val="22"/>
          <w:szCs w:val="22"/>
        </w:rPr>
        <w:t>6.</w:t>
      </w:r>
      <w:r w:rsidRPr="00A357AC">
        <w:rPr>
          <w:rFonts w:ascii="Arial" w:hAnsi="Arial" w:cs="Arial"/>
          <w:sz w:val="22"/>
          <w:szCs w:val="22"/>
          <w:lang w:val="fi-FI"/>
        </w:rPr>
        <w:t xml:space="preserve"> Berger, Lance, </w:t>
      </w:r>
      <w:r w:rsidRPr="00A357AC">
        <w:rPr>
          <w:rFonts w:ascii="Arial" w:hAnsi="Arial" w:cs="Arial"/>
          <w:sz w:val="22"/>
          <w:szCs w:val="22"/>
          <w:u w:val="single"/>
          <w:lang w:val="fi-FI"/>
        </w:rPr>
        <w:t>The Change Management Handbook: A Road Map to Corporate Transformation</w:t>
      </w:r>
      <w:r w:rsidRPr="00A357AC">
        <w:rPr>
          <w:rFonts w:ascii="Arial" w:hAnsi="Arial" w:cs="Arial"/>
          <w:sz w:val="22"/>
          <w:szCs w:val="22"/>
          <w:lang w:val="fi-FI"/>
        </w:rPr>
        <w:t>, McGraw-Hill, 2003</w:t>
      </w:r>
    </w:p>
    <w:p w:rsidR="003C3E51" w:rsidRDefault="003C3E51" w:rsidP="003C3E51">
      <w:pPr>
        <w:pStyle w:val="FootnoteText"/>
        <w:rPr>
          <w:sz w:val="22"/>
          <w:szCs w:val="22"/>
        </w:rPr>
      </w:pPr>
    </w:p>
    <w:p w:rsidR="00F772B3" w:rsidRDefault="00F772B3" w:rsidP="003C3E51">
      <w:pPr>
        <w:pStyle w:val="FootnoteText"/>
        <w:rPr>
          <w:sz w:val="22"/>
          <w:szCs w:val="22"/>
        </w:rPr>
      </w:pPr>
    </w:p>
    <w:p w:rsidR="00F772B3" w:rsidRDefault="00F772B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6C7993" w:rsidRDefault="006C7993" w:rsidP="003C3E51">
      <w:pPr>
        <w:pStyle w:val="FootnoteText"/>
        <w:rPr>
          <w:sz w:val="22"/>
          <w:szCs w:val="22"/>
        </w:rPr>
      </w:pPr>
    </w:p>
    <w:p w:rsidR="00F772B3" w:rsidRPr="00A357AC" w:rsidRDefault="00F772B3" w:rsidP="003C3E51">
      <w:pPr>
        <w:pStyle w:val="FootnoteText"/>
        <w:rPr>
          <w:sz w:val="22"/>
          <w:szCs w:val="22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3926"/>
      </w:tblGrid>
      <w:tr w:rsidR="009D5ABB" w:rsidRPr="00F772B3" w:rsidTr="006C7993">
        <w:trPr>
          <w:trHeight w:val="321"/>
        </w:trPr>
        <w:tc>
          <w:tcPr>
            <w:tcW w:w="3205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Jakarta,  </w:t>
            </w:r>
            <w:r w:rsidR="006C7993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1 Maret 2014</w:t>
            </w:r>
          </w:p>
        </w:tc>
        <w:tc>
          <w:tcPr>
            <w:tcW w:w="6018" w:type="dxa"/>
          </w:tcPr>
          <w:p w:rsidR="009D5ABB" w:rsidRPr="00F772B3" w:rsidRDefault="009D5ABB" w:rsidP="00F772B3">
            <w:pPr>
              <w:pStyle w:val="Footer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Nama Fungsi</w:t>
            </w:r>
          </w:p>
        </w:tc>
        <w:tc>
          <w:tcPr>
            <w:tcW w:w="3926" w:type="dxa"/>
          </w:tcPr>
          <w:p w:rsidR="009D5ABB" w:rsidRPr="00F772B3" w:rsidRDefault="009D5ABB" w:rsidP="00F772B3">
            <w:pPr>
              <w:pStyle w:val="Footer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Paraf/Tanggal</w:t>
            </w:r>
          </w:p>
        </w:tc>
      </w:tr>
      <w:tr w:rsidR="009D5ABB" w:rsidRPr="00F772B3" w:rsidTr="006C7993">
        <w:trPr>
          <w:trHeight w:val="321"/>
        </w:trPr>
        <w:tc>
          <w:tcPr>
            <w:tcW w:w="3205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Dibuat Oleh</w:t>
            </w:r>
          </w:p>
        </w:tc>
        <w:tc>
          <w:tcPr>
            <w:tcW w:w="6018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Dosen Pengampu / Koordinator MK </w:t>
            </w:r>
          </w:p>
          <w:p w:rsidR="009D5ABB" w:rsidRPr="00F772B3" w:rsidRDefault="009D5ABB" w:rsidP="00F772B3">
            <w:pPr>
              <w:pStyle w:val="Footer"/>
              <w:tabs>
                <w:tab w:val="clear" w:pos="4680"/>
                <w:tab w:val="clear" w:pos="9360"/>
                <w:tab w:val="center" w:pos="2901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</w:rPr>
              <w:t>Drs, Wawan Purwanto SE,MM</w:t>
            </w:r>
          </w:p>
        </w:tc>
        <w:tc>
          <w:tcPr>
            <w:tcW w:w="3926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D5ABB" w:rsidRPr="00F772B3" w:rsidTr="006C7993">
        <w:trPr>
          <w:trHeight w:val="321"/>
        </w:trPr>
        <w:tc>
          <w:tcPr>
            <w:tcW w:w="3205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Diperiksa Oleh</w:t>
            </w:r>
          </w:p>
        </w:tc>
        <w:tc>
          <w:tcPr>
            <w:tcW w:w="6018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Ketua Program Studi</w:t>
            </w:r>
          </w:p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Dr. Rina Astini, SE, MM</w:t>
            </w:r>
          </w:p>
        </w:tc>
        <w:tc>
          <w:tcPr>
            <w:tcW w:w="3926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757D61" w:rsidRPr="00F772B3" w:rsidRDefault="00757D61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D5ABB" w:rsidRPr="00F772B3" w:rsidTr="006C7993">
        <w:trPr>
          <w:trHeight w:val="341"/>
        </w:trPr>
        <w:tc>
          <w:tcPr>
            <w:tcW w:w="3205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Disahkan Oleh</w:t>
            </w:r>
          </w:p>
        </w:tc>
        <w:tc>
          <w:tcPr>
            <w:tcW w:w="6018" w:type="dxa"/>
          </w:tcPr>
          <w:p w:rsidR="009D5ABB" w:rsidRPr="00F772B3" w:rsidRDefault="009D5ABB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Dekan</w:t>
            </w:r>
          </w:p>
          <w:p w:rsidR="009D5ABB" w:rsidRPr="00F772B3" w:rsidRDefault="009D5ABB" w:rsidP="00F772B3">
            <w:pPr>
              <w:pStyle w:val="Footer"/>
              <w:tabs>
                <w:tab w:val="clear" w:pos="4680"/>
                <w:tab w:val="clear" w:pos="9360"/>
                <w:tab w:val="left" w:pos="385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>Prof. Dr. Wiwik Utami, Ak, MS, CA</w:t>
            </w:r>
            <w:r w:rsidRPr="00F772B3">
              <w:rPr>
                <w:rFonts w:ascii="Arial" w:hAnsi="Arial" w:cs="Arial"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3926" w:type="dxa"/>
          </w:tcPr>
          <w:p w:rsidR="00757D61" w:rsidRPr="00F772B3" w:rsidRDefault="00757D61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757D61" w:rsidRPr="00F772B3" w:rsidRDefault="00757D61" w:rsidP="00F772B3">
            <w:pPr>
              <w:pStyle w:val="Footer"/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3C3E51" w:rsidRDefault="003C3E51" w:rsidP="003C3E51">
      <w:pPr>
        <w:pStyle w:val="FootnoteText"/>
        <w:rPr>
          <w:sz w:val="22"/>
          <w:szCs w:val="22"/>
        </w:rPr>
      </w:pPr>
    </w:p>
    <w:p w:rsidR="009D5ABB" w:rsidRDefault="009D5ABB" w:rsidP="003C3E51">
      <w:pPr>
        <w:pStyle w:val="FootnoteText"/>
        <w:rPr>
          <w:sz w:val="22"/>
          <w:szCs w:val="22"/>
        </w:rPr>
      </w:pPr>
    </w:p>
    <w:p w:rsidR="009D5ABB" w:rsidRPr="00A357AC" w:rsidRDefault="009D5ABB" w:rsidP="003C3E51">
      <w:pPr>
        <w:pStyle w:val="FootnoteText"/>
        <w:rPr>
          <w:sz w:val="22"/>
          <w:szCs w:val="22"/>
        </w:rPr>
      </w:pPr>
    </w:p>
    <w:p w:rsidR="003C3E51" w:rsidRDefault="003C3E51" w:rsidP="003C3E51">
      <w:pPr>
        <w:pStyle w:val="FootnoteText"/>
      </w:pPr>
    </w:p>
    <w:p w:rsidR="003C3E51" w:rsidRPr="00962055" w:rsidRDefault="003C3E51" w:rsidP="00556B62">
      <w:pPr>
        <w:spacing w:line="360" w:lineRule="auto"/>
        <w:ind w:left="220" w:hanging="220"/>
        <w:rPr>
          <w:rFonts w:ascii="Arial" w:hAnsi="Arial" w:cs="Arial"/>
          <w:sz w:val="24"/>
          <w:szCs w:val="24"/>
        </w:rPr>
      </w:pPr>
    </w:p>
    <w:p w:rsidR="00A42C6C" w:rsidRDefault="00A42C6C" w:rsidP="00556B62"/>
    <w:p w:rsidR="00137F34" w:rsidRDefault="00137F34" w:rsidP="00556B62">
      <w:pPr>
        <w:ind w:left="-360"/>
      </w:pPr>
    </w:p>
    <w:p w:rsidR="00137F34" w:rsidRDefault="00137F34" w:rsidP="00556B62">
      <w:pPr>
        <w:ind w:left="-360"/>
      </w:pPr>
    </w:p>
    <w:sectPr w:rsidR="00137F34" w:rsidSect="006C7993">
      <w:pgSz w:w="15840" w:h="12240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22DA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220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32A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5A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40EC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C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62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CE3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3647106D"/>
    <w:multiLevelType w:val="hybridMultilevel"/>
    <w:tmpl w:val="8912E900"/>
    <w:lvl w:ilvl="0" w:tplc="308272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33EC"/>
    <w:multiLevelType w:val="hybridMultilevel"/>
    <w:tmpl w:val="4C7EE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B201EA"/>
    <w:multiLevelType w:val="hybridMultilevel"/>
    <w:tmpl w:val="ED2C7648"/>
    <w:lvl w:ilvl="0" w:tplc="2DC075F2">
      <w:start w:val="18"/>
      <w:numFmt w:val="bullet"/>
      <w:lvlText w:val="-"/>
      <w:lvlJc w:val="left"/>
      <w:pPr>
        <w:ind w:left="536" w:hanging="360"/>
      </w:pPr>
      <w:rPr>
        <w:rFonts w:ascii="Arial" w:eastAsia="Calibri" w:hAnsi="Aria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A2A81"/>
    <w:rsid w:val="000F4599"/>
    <w:rsid w:val="00137F34"/>
    <w:rsid w:val="00141AB4"/>
    <w:rsid w:val="0015206F"/>
    <w:rsid w:val="001A67D5"/>
    <w:rsid w:val="001B67FA"/>
    <w:rsid w:val="00225540"/>
    <w:rsid w:val="00247271"/>
    <w:rsid w:val="003C3E51"/>
    <w:rsid w:val="003E2AAE"/>
    <w:rsid w:val="003E5700"/>
    <w:rsid w:val="0040032B"/>
    <w:rsid w:val="0043700E"/>
    <w:rsid w:val="004812E0"/>
    <w:rsid w:val="0049396E"/>
    <w:rsid w:val="00524B86"/>
    <w:rsid w:val="00556B62"/>
    <w:rsid w:val="00561083"/>
    <w:rsid w:val="005A4FB3"/>
    <w:rsid w:val="005E02A1"/>
    <w:rsid w:val="006305A9"/>
    <w:rsid w:val="00646997"/>
    <w:rsid w:val="006877B7"/>
    <w:rsid w:val="006C7993"/>
    <w:rsid w:val="00727D85"/>
    <w:rsid w:val="00742CBC"/>
    <w:rsid w:val="00747001"/>
    <w:rsid w:val="00757D61"/>
    <w:rsid w:val="007942A0"/>
    <w:rsid w:val="00856B83"/>
    <w:rsid w:val="008A625A"/>
    <w:rsid w:val="00962055"/>
    <w:rsid w:val="009A01F4"/>
    <w:rsid w:val="009D277B"/>
    <w:rsid w:val="009D5ABB"/>
    <w:rsid w:val="00A128FF"/>
    <w:rsid w:val="00A255CF"/>
    <w:rsid w:val="00A357AC"/>
    <w:rsid w:val="00A42C6C"/>
    <w:rsid w:val="00A447AE"/>
    <w:rsid w:val="00A44E33"/>
    <w:rsid w:val="00A564DD"/>
    <w:rsid w:val="00A962E8"/>
    <w:rsid w:val="00AF04A2"/>
    <w:rsid w:val="00B37EB1"/>
    <w:rsid w:val="00B64B32"/>
    <w:rsid w:val="00BC03CF"/>
    <w:rsid w:val="00BC5576"/>
    <w:rsid w:val="00C15CE2"/>
    <w:rsid w:val="00C35258"/>
    <w:rsid w:val="00C50E70"/>
    <w:rsid w:val="00C65F9F"/>
    <w:rsid w:val="00C92F9B"/>
    <w:rsid w:val="00CC1C64"/>
    <w:rsid w:val="00CC1D02"/>
    <w:rsid w:val="00CF5675"/>
    <w:rsid w:val="00D03EF7"/>
    <w:rsid w:val="00D61158"/>
    <w:rsid w:val="00D8082F"/>
    <w:rsid w:val="00DF7A50"/>
    <w:rsid w:val="00E646DC"/>
    <w:rsid w:val="00E67D82"/>
    <w:rsid w:val="00E9651A"/>
    <w:rsid w:val="00EC417E"/>
    <w:rsid w:val="00ED5EE2"/>
    <w:rsid w:val="00EE6A36"/>
    <w:rsid w:val="00F772B3"/>
    <w:rsid w:val="00F843E9"/>
    <w:rsid w:val="00FA22C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6997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semiHidden/>
    <w:rsid w:val="00962055"/>
    <w:pPr>
      <w:spacing w:line="240" w:lineRule="auto"/>
      <w:jc w:val="left"/>
    </w:pPr>
    <w:rPr>
      <w:rFonts w:ascii="Verdana" w:eastAsia="Times New Roman" w:hAnsi="Verdana"/>
      <w:sz w:val="20"/>
      <w:szCs w:val="20"/>
    </w:rPr>
  </w:style>
  <w:style w:type="character" w:styleId="FootnoteReference">
    <w:name w:val="footnote reference"/>
    <w:semiHidden/>
    <w:rsid w:val="0096205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D5A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5ABB"/>
    <w:rPr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6997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semiHidden/>
    <w:rsid w:val="00962055"/>
    <w:pPr>
      <w:spacing w:line="240" w:lineRule="auto"/>
      <w:jc w:val="left"/>
    </w:pPr>
    <w:rPr>
      <w:rFonts w:ascii="Verdana" w:eastAsia="Times New Roman" w:hAnsi="Verdana"/>
      <w:sz w:val="20"/>
      <w:szCs w:val="20"/>
    </w:rPr>
  </w:style>
  <w:style w:type="character" w:styleId="FootnoteReference">
    <w:name w:val="footnote reference"/>
    <w:semiHidden/>
    <w:rsid w:val="0096205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D5A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5ABB"/>
    <w:rPr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2014-10-21T07:52:00Z</cp:lastPrinted>
  <dcterms:created xsi:type="dcterms:W3CDTF">2015-06-17T03:58:00Z</dcterms:created>
  <dcterms:modified xsi:type="dcterms:W3CDTF">2015-06-17T03:58:00Z</dcterms:modified>
</cp:coreProperties>
</file>