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A071CD" w:rsidRPr="00794582" w:rsidTr="00C2722B">
        <w:trPr>
          <w:trHeight w:val="1505"/>
        </w:trPr>
        <w:tc>
          <w:tcPr>
            <w:tcW w:w="1986" w:type="dxa"/>
          </w:tcPr>
          <w:p w:rsidR="00A071CD" w:rsidRDefault="00AD7FB0" w:rsidP="00C2722B"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5850" cy="960120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1CD" w:rsidRPr="00794582" w:rsidRDefault="00AD7FB0" w:rsidP="00A071C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5pt;height:7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U8fgIAAA0FAAAOAAAAZHJzL2Uyb0RvYy54bWysVG1v2yAQ/j5p/wHxPfWLnDa24lRNOk+T&#10;uhep3Q8ggGM0DAho7G7af9+BkzTrNmma5g8YuOPh7p7nWF6PvUR7bp3QqsbZRYoRV1QzoXY1/vzQ&#10;zBYYOU8UI1IrXuMn7vD16vWr5WAqnutOS8YtAhDlqsHUuPPeVEniaMd74i604QqMrbY98bC0u4RZ&#10;MgB6L5M8TS+TQVtmrKbcOdi9nYx4FfHbllP/sW0d90jWGGLzcbRx3IYxWS1JtbPEdIIewiD/EEVP&#10;hIJLT1C3xBP0aMUvUL2gVjvd+guq+0S3raA85gDZZOmLbO47YnjMBYrjzKlM7v/B0g/7TxYJVuMc&#10;I0V6oOiBjx6t9YjyUJ3BuAqc7g24+RG2geWYqTN3mn5xSOlNR9SO31irh44TBtFl4WRydnTCcQFk&#10;O7zXDK4hj15HoLG1fSgdFAMBOrD0dGImhELDlelivpiDiYKtvEyzPFKXkOp42ljn33LdozCpsQXm&#10;IzrZ3zkfoiHV0SVc5rQUrBFSxoXdbTfSoj0BlTTxiwm8cJMqOCsdjk2I0w4ECXcEWwg3sv6tzPIi&#10;XeflrLlcXM2KppjPyqt0MUuzcg3xF2Vx23wPAWZF1QnGuLoTih8VmBV/x/ChFybtRA2iAeozz+cT&#10;RX9MMo3f75LshYeGlKKv8eLkRKpA7BvFIG1SeSLkNE9+Dj9WGWpw/MeqRBkE5icN+HE7AkrQxlaz&#10;JxCE1cAXUAuvCEw6bb9iNEBH1ljBk4GRfKdAUmVWFKGB46KYX4EAkD23bM8tRFEAqrHHaJpu/NT0&#10;j8aKXQf3HEV8AzJsRFTIc0wH8ULPxVQO70No6vN19Hp+xVY/AAAA//8DAFBLAwQUAAYACAAAACEA&#10;jiAneNoAAAAHAQAADwAAAGRycy9kb3ducmV2LnhtbEyO0UrDQBBF3wX/YRnBN7sxxbTGbIoogiIU&#10;Wv2Aze40CWZnY3bbpH/fyZM+nrmXO6fYTK4TJxxC60nB/SIBgWS8balW8P31drcGEaImqztPqOCM&#10;ATbl9VWhc+tH2uFpH2vBIxRyraCJsc+lDKZBp8PC90icHfzgdGQcamkHPfK462SaJJl0uiX+0Oge&#10;Xxo0P/ujU/DaDtWv8cv3bPX5aLa7cBg/tlKp25vp+QlExCn+lWHWZ3Uo2anyR7JBdMwPXFSQZiDm&#10;dJUyV/N5uQZZFvK/f3kBAAD//wMAUEsBAi0AFAAGAAgAAAAhALaDOJL+AAAA4QEAABMAAAAAAAAA&#10;AAAAAAAAAAAAAFtDb250ZW50X1R5cGVzXS54bWxQSwECLQAUAAYACAAAACEAOP0h/9YAAACUAQAA&#10;CwAAAAAAAAAAAAAAAAAvAQAAX3JlbHMvLnJlbHNQSwECLQAUAAYACAAAACEAZUFVPH4CAAANBQAA&#10;DgAAAAAAAAAAAAAAAAAuAgAAZHJzL2Uyb0RvYy54bWxQSwECLQAUAAYACAAAACEAjiAneNoAAAAH&#10;AQAADwAAAAAAAAAAAAAAAADYBAAAZHJzL2Rvd25yZXYueG1sUEsFBgAAAAAEAAQA8wAAAN8FAAAA&#10;AA==&#10;" stroked="f">
                      <v:textbox style="mso-fit-shape-to-text:t">
                        <w:txbxContent>
                          <w:p w:rsidR="00A071CD" w:rsidRPr="00794582" w:rsidRDefault="00AD7FB0" w:rsidP="00A071C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A071CD" w:rsidRDefault="00A071CD" w:rsidP="00C2722B"/>
          <w:p w:rsidR="00A071CD" w:rsidRPr="002D43B4" w:rsidRDefault="00A071CD" w:rsidP="00C272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A071CD" w:rsidRPr="002D43B4" w:rsidRDefault="00A071CD" w:rsidP="00C272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DC445A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S1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A071CD" w:rsidRPr="002D43B4" w:rsidRDefault="00A071CD" w:rsidP="00C2722B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A071CD" w:rsidRPr="006976A9" w:rsidRDefault="00A071CD" w:rsidP="00C2722B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A071CD" w:rsidRPr="00794582" w:rsidRDefault="00A071CD" w:rsidP="00A071CD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A071CD" w:rsidRPr="00E30A58" w:rsidTr="00C2722B">
        <w:trPr>
          <w:trHeight w:val="282"/>
        </w:trPr>
        <w:tc>
          <w:tcPr>
            <w:tcW w:w="1986" w:type="dxa"/>
          </w:tcPr>
          <w:p w:rsidR="00A071CD" w:rsidRPr="00E30A58" w:rsidRDefault="00A071CD" w:rsidP="00C2722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A071CD" w:rsidRPr="00E30A58" w:rsidRDefault="00FF5C41" w:rsidP="00C272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12-2-1.2.06.00</w:t>
            </w:r>
          </w:p>
        </w:tc>
        <w:tc>
          <w:tcPr>
            <w:tcW w:w="6922" w:type="dxa"/>
            <w:gridSpan w:val="6"/>
          </w:tcPr>
          <w:p w:rsidR="00A071CD" w:rsidRPr="00E30A58" w:rsidRDefault="00A071CD" w:rsidP="00C272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A071CD" w:rsidRPr="00E30A58" w:rsidTr="00C2722B">
        <w:trPr>
          <w:trHeight w:val="289"/>
        </w:trPr>
        <w:tc>
          <w:tcPr>
            <w:tcW w:w="1986" w:type="dxa"/>
          </w:tcPr>
          <w:p w:rsidR="00A071CD" w:rsidRPr="00E30A58" w:rsidRDefault="00A071CD" w:rsidP="00C2722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A071CD" w:rsidRPr="00E30A58" w:rsidRDefault="00A071CD" w:rsidP="00C2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A071CD" w:rsidRPr="00E30A58" w:rsidRDefault="00A071CD" w:rsidP="00C27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1CD" w:rsidRPr="00E30A58" w:rsidRDefault="00A071CD" w:rsidP="00C2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1CD" w:rsidRPr="00E30A58" w:rsidRDefault="00A071CD" w:rsidP="00C2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1CD" w:rsidRPr="00E30A58" w:rsidRDefault="00A071CD" w:rsidP="00C2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1CD" w:rsidRPr="00E30A58" w:rsidRDefault="00A071CD" w:rsidP="00C2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A071CD" w:rsidRPr="00E30A58" w:rsidRDefault="00A071CD" w:rsidP="00C2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1CD" w:rsidRDefault="00A071CD" w:rsidP="008A0851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5C2" w:rsidRPr="008A0851" w:rsidRDefault="00AF01EF" w:rsidP="008A0851">
      <w:pPr>
        <w:spacing w:after="120"/>
        <w:ind w:hanging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="006B4048">
        <w:rPr>
          <w:rFonts w:ascii="Arial" w:hAnsi="Arial" w:cs="Arial"/>
          <w:b/>
          <w:bCs/>
          <w:color w:val="000000"/>
          <w:sz w:val="20"/>
          <w:szCs w:val="20"/>
        </w:rPr>
        <w:t xml:space="preserve"> Pemasaran Internasional</w:t>
      </w:r>
      <w:r w:rsidR="003B7492">
        <w:rPr>
          <w:rFonts w:ascii="Arial" w:hAnsi="Arial" w:cs="Arial"/>
          <w:bCs/>
          <w:color w:val="000000"/>
          <w:sz w:val="20"/>
          <w:szCs w:val="20"/>
        </w:rPr>
        <w:tab/>
      </w:r>
      <w:r w:rsidR="00DC445A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Semester </w:t>
      </w:r>
      <w:r w:rsidRPr="003C45B6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="000B765B">
        <w:rPr>
          <w:rFonts w:ascii="Arial" w:hAnsi="Arial" w:cs="Arial"/>
          <w:b/>
          <w:bCs/>
          <w:color w:val="000000"/>
          <w:sz w:val="20"/>
          <w:szCs w:val="20"/>
        </w:rPr>
        <w:t>VI</w:t>
      </w:r>
      <w:r w:rsidR="003B7492">
        <w:rPr>
          <w:rFonts w:ascii="Arial" w:hAnsi="Arial" w:cs="Arial"/>
          <w:bCs/>
          <w:color w:val="000000"/>
          <w:sz w:val="20"/>
          <w:szCs w:val="20"/>
        </w:rPr>
        <w:tab/>
      </w:r>
      <w:r w:rsidR="002830C3">
        <w:rPr>
          <w:rFonts w:ascii="Arial" w:hAnsi="Arial" w:cs="Arial"/>
          <w:bCs/>
          <w:color w:val="000000"/>
          <w:sz w:val="20"/>
          <w:szCs w:val="20"/>
        </w:rPr>
        <w:tab/>
      </w:r>
      <w:r w:rsidR="00DC445A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Sks </w:t>
      </w:r>
      <w:r w:rsidRPr="003C45B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3B7492" w:rsidRPr="003C45B6">
        <w:rPr>
          <w:rFonts w:ascii="Arial" w:hAnsi="Arial" w:cs="Arial"/>
          <w:b/>
          <w:color w:val="000000"/>
          <w:sz w:val="20"/>
          <w:szCs w:val="20"/>
        </w:rPr>
        <w:t>3</w:t>
      </w:r>
      <w:r w:rsidR="003B7492" w:rsidRPr="003C45B6">
        <w:rPr>
          <w:rFonts w:ascii="Arial" w:hAnsi="Arial" w:cs="Arial"/>
          <w:b/>
          <w:color w:val="000000"/>
          <w:sz w:val="20"/>
          <w:szCs w:val="20"/>
        </w:rPr>
        <w:tab/>
      </w:r>
      <w:r w:rsidR="003B7492">
        <w:rPr>
          <w:rFonts w:ascii="Arial" w:hAnsi="Arial" w:cs="Arial"/>
          <w:color w:val="000000"/>
          <w:sz w:val="20"/>
          <w:szCs w:val="20"/>
        </w:rPr>
        <w:tab/>
      </w:r>
      <w:r w:rsidR="002830C3"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="000B765B">
        <w:rPr>
          <w:rFonts w:ascii="Arial" w:hAnsi="Arial" w:cs="Arial"/>
          <w:b/>
          <w:bCs/>
          <w:color w:val="000000"/>
          <w:sz w:val="20"/>
          <w:szCs w:val="20"/>
        </w:rPr>
        <w:t>: 31013</w:t>
      </w:r>
    </w:p>
    <w:p w:rsidR="00AF01EF" w:rsidRDefault="00AF01EF" w:rsidP="000627FF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Dosen/Team Teaching  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7492">
        <w:rPr>
          <w:rFonts w:ascii="Arial" w:hAnsi="Arial" w:cs="Arial"/>
          <w:color w:val="000000"/>
          <w:sz w:val="20"/>
          <w:szCs w:val="20"/>
        </w:rPr>
        <w:t xml:space="preserve"> 1. </w:t>
      </w:r>
      <w:r w:rsidR="000B765B">
        <w:rPr>
          <w:rFonts w:ascii="Arial" w:hAnsi="Arial" w:cs="Arial"/>
          <w:color w:val="000000"/>
          <w:sz w:val="20"/>
          <w:szCs w:val="20"/>
        </w:rPr>
        <w:t>Dr. Rina Astini, MM</w:t>
      </w:r>
    </w:p>
    <w:p w:rsidR="006345C2" w:rsidRDefault="000627FF" w:rsidP="000627FF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6345C2">
        <w:rPr>
          <w:rFonts w:ascii="Arial" w:hAnsi="Arial" w:cs="Arial"/>
          <w:color w:val="000000"/>
          <w:sz w:val="20"/>
          <w:szCs w:val="20"/>
        </w:rPr>
        <w:t>2</w:t>
      </w:r>
      <w:r w:rsidR="000B765B">
        <w:rPr>
          <w:rFonts w:ascii="Arial" w:hAnsi="Arial" w:cs="Arial"/>
          <w:color w:val="000000"/>
          <w:sz w:val="20"/>
          <w:szCs w:val="20"/>
        </w:rPr>
        <w:t>. Arief Bowo Prayoga K,SE.,MM</w:t>
      </w:r>
    </w:p>
    <w:p w:rsidR="00AF01EF" w:rsidRDefault="006345C2" w:rsidP="006345C2">
      <w:pPr>
        <w:spacing w:after="120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3. </w:t>
      </w:r>
      <w:r w:rsidR="000B765B">
        <w:rPr>
          <w:rFonts w:ascii="Arial" w:hAnsi="Arial" w:cs="Arial"/>
          <w:color w:val="000000"/>
          <w:sz w:val="20"/>
          <w:szCs w:val="20"/>
        </w:rPr>
        <w:t>M. Rizki Sadikin, BBA.,MBA</w:t>
      </w:r>
    </w:p>
    <w:p w:rsidR="00AF01EF" w:rsidRPr="00DC445A" w:rsidRDefault="00AF01EF" w:rsidP="000627FF">
      <w:pPr>
        <w:spacing w:after="120"/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DC445A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DC445A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874FC6" w:rsidRPr="00DC445A" w:rsidRDefault="00874FC6" w:rsidP="000627FF">
      <w:pPr>
        <w:numPr>
          <w:ilvl w:val="0"/>
          <w:numId w:val="33"/>
        </w:numPr>
        <w:spacing w:line="36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 w:rsidRPr="00DC445A">
        <w:rPr>
          <w:rFonts w:ascii="Arial" w:hAnsi="Arial" w:cs="Arial"/>
          <w:color w:val="000000"/>
          <w:sz w:val="20"/>
          <w:szCs w:val="20"/>
        </w:rPr>
        <w:t>Mata kuliah</w:t>
      </w:r>
      <w:r w:rsidR="0070543E" w:rsidRPr="00DC445A">
        <w:rPr>
          <w:rFonts w:ascii="Arial" w:hAnsi="Arial" w:cs="Arial"/>
          <w:color w:val="000000"/>
          <w:sz w:val="20"/>
          <w:szCs w:val="20"/>
        </w:rPr>
        <w:t xml:space="preserve"> Pemasaran Internasional </w:t>
      </w:r>
      <w:r w:rsidRPr="00DC445A">
        <w:rPr>
          <w:rFonts w:ascii="Arial" w:hAnsi="Arial" w:cs="Arial"/>
          <w:color w:val="000000"/>
          <w:sz w:val="20"/>
          <w:szCs w:val="20"/>
        </w:rPr>
        <w:t>ditawarkan pada semester genap atau</w:t>
      </w:r>
      <w:r w:rsidR="006B4048" w:rsidRPr="00DC445A">
        <w:rPr>
          <w:rFonts w:ascii="Arial" w:hAnsi="Arial" w:cs="Arial"/>
          <w:color w:val="000000"/>
          <w:sz w:val="20"/>
          <w:szCs w:val="20"/>
        </w:rPr>
        <w:t xml:space="preserve"> semester </w:t>
      </w:r>
      <w:r w:rsidRPr="00DC445A">
        <w:rPr>
          <w:rFonts w:ascii="Arial" w:hAnsi="Arial" w:cs="Arial"/>
          <w:color w:val="000000"/>
          <w:sz w:val="20"/>
          <w:szCs w:val="20"/>
        </w:rPr>
        <w:t>V</w:t>
      </w:r>
      <w:r w:rsidR="0070543E" w:rsidRPr="00DC445A">
        <w:rPr>
          <w:rFonts w:ascii="Arial" w:hAnsi="Arial" w:cs="Arial"/>
          <w:color w:val="000000"/>
          <w:sz w:val="20"/>
          <w:szCs w:val="20"/>
        </w:rPr>
        <w:t>I</w:t>
      </w:r>
      <w:r w:rsidRPr="00DC445A">
        <w:rPr>
          <w:rFonts w:ascii="Arial" w:hAnsi="Arial" w:cs="Arial"/>
          <w:color w:val="000000"/>
          <w:sz w:val="20"/>
          <w:szCs w:val="20"/>
        </w:rPr>
        <w:t xml:space="preserve"> dan mata kuliah prasyarat mata kuliah </w:t>
      </w:r>
      <w:r w:rsidR="0070543E" w:rsidRPr="00DC445A">
        <w:rPr>
          <w:rFonts w:ascii="Arial" w:hAnsi="Arial" w:cs="Arial"/>
          <w:color w:val="000000"/>
          <w:sz w:val="20"/>
          <w:szCs w:val="20"/>
        </w:rPr>
        <w:t>Manajemen Pemasaran.</w:t>
      </w:r>
    </w:p>
    <w:p w:rsidR="0070543E" w:rsidRPr="00DC445A" w:rsidRDefault="0070543E" w:rsidP="0026286D">
      <w:pPr>
        <w:numPr>
          <w:ilvl w:val="0"/>
          <w:numId w:val="33"/>
        </w:numPr>
        <w:spacing w:after="120" w:line="360" w:lineRule="auto"/>
        <w:ind w:left="2880"/>
        <w:rPr>
          <w:rFonts w:ascii="Arial" w:hAnsi="Arial" w:cs="Arial"/>
          <w:b/>
          <w:color w:val="000000"/>
          <w:sz w:val="20"/>
          <w:szCs w:val="20"/>
        </w:rPr>
      </w:pPr>
      <w:r w:rsidRPr="00DC445A">
        <w:rPr>
          <w:rFonts w:ascii="Arial" w:hAnsi="Arial" w:cs="Arial"/>
          <w:color w:val="000000"/>
          <w:sz w:val="20"/>
          <w:szCs w:val="20"/>
        </w:rPr>
        <w:t xml:space="preserve">Mata kuliah Pemasaran Internasional </w:t>
      </w:r>
      <w:r w:rsidR="00874FC6" w:rsidRPr="00DC445A">
        <w:rPr>
          <w:rFonts w:ascii="Arial" w:hAnsi="Arial" w:cs="Arial"/>
          <w:color w:val="000000"/>
          <w:sz w:val="20"/>
          <w:szCs w:val="20"/>
        </w:rPr>
        <w:t xml:space="preserve">mengajarkan mahasiswa </w:t>
      </w:r>
      <w:r w:rsidRPr="00DC445A">
        <w:rPr>
          <w:rFonts w:ascii="Arial" w:hAnsi="Arial" w:cs="Arial"/>
          <w:color w:val="000000"/>
          <w:sz w:val="20"/>
          <w:szCs w:val="20"/>
        </w:rPr>
        <w:t>melakukan analisis lingkungan perusahaan secara global, perilaku pembelian global, strategi memasuki pasar global</w:t>
      </w:r>
      <w:r w:rsidR="0026286D" w:rsidRPr="00DC445A">
        <w:rPr>
          <w:rFonts w:ascii="Arial" w:hAnsi="Arial" w:cs="Arial"/>
          <w:color w:val="000000"/>
          <w:sz w:val="20"/>
          <w:szCs w:val="20"/>
        </w:rPr>
        <w:t xml:space="preserve"> serta </w:t>
      </w:r>
      <w:r w:rsidRPr="00DC445A">
        <w:rPr>
          <w:rFonts w:ascii="Arial" w:hAnsi="Arial" w:cs="Arial"/>
          <w:color w:val="000000"/>
          <w:sz w:val="20"/>
          <w:szCs w:val="20"/>
        </w:rPr>
        <w:t xml:space="preserve"> fungsi-fungsi manajemen global sehingga mahasiswa dapat memahami bagaimana memasuki pasar </w:t>
      </w:r>
      <w:r w:rsidR="0026286D" w:rsidRPr="00DC445A">
        <w:rPr>
          <w:rFonts w:ascii="Arial" w:hAnsi="Arial" w:cs="Arial"/>
          <w:color w:val="000000"/>
          <w:sz w:val="20"/>
          <w:szCs w:val="20"/>
        </w:rPr>
        <w:t xml:space="preserve">internasional. </w:t>
      </w:r>
    </w:p>
    <w:p w:rsidR="00AF01EF" w:rsidRPr="00DC445A" w:rsidRDefault="00AF01EF" w:rsidP="0026286D">
      <w:pPr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C445A">
        <w:rPr>
          <w:rFonts w:ascii="Arial" w:hAnsi="Arial" w:cs="Arial"/>
          <w:b/>
          <w:color w:val="000000"/>
          <w:sz w:val="20"/>
          <w:szCs w:val="20"/>
        </w:rPr>
        <w:t>Kompetensi                  :</w:t>
      </w:r>
    </w:p>
    <w:p w:rsidR="00AF01EF" w:rsidRPr="0026286D" w:rsidRDefault="00AF01EF" w:rsidP="000627FF">
      <w:pPr>
        <w:numPr>
          <w:ilvl w:val="0"/>
          <w:numId w:val="34"/>
        </w:numPr>
        <w:spacing w:line="360" w:lineRule="auto"/>
        <w:ind w:left="3238" w:hanging="686"/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>Tujuan Pembelajaran</w:t>
      </w:r>
      <w:r w:rsidR="00D27BCB" w:rsidRPr="0026286D">
        <w:rPr>
          <w:rFonts w:ascii="Arial" w:hAnsi="Arial" w:cs="Arial"/>
          <w:color w:val="000000"/>
        </w:rPr>
        <w:t>:</w:t>
      </w:r>
    </w:p>
    <w:p w:rsidR="000A3693" w:rsidRPr="0026286D" w:rsidRDefault="005C1667" w:rsidP="0070543E">
      <w:pPr>
        <w:numPr>
          <w:ilvl w:val="0"/>
          <w:numId w:val="47"/>
        </w:numPr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 xml:space="preserve">Mampu </w:t>
      </w:r>
      <w:r w:rsidR="000A3693" w:rsidRPr="0026286D">
        <w:rPr>
          <w:rFonts w:ascii="Arial" w:hAnsi="Arial" w:cs="Arial"/>
          <w:color w:val="000000"/>
        </w:rPr>
        <w:t xml:space="preserve">melakukan analisis lingkungan perusahaan secara global, </w:t>
      </w:r>
    </w:p>
    <w:p w:rsidR="005C1667" w:rsidRPr="0026286D" w:rsidRDefault="005C1667" w:rsidP="0070543E">
      <w:pPr>
        <w:numPr>
          <w:ilvl w:val="0"/>
          <w:numId w:val="47"/>
        </w:numPr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 xml:space="preserve">Mampu menjelaskan </w:t>
      </w:r>
      <w:r w:rsidR="000A3693" w:rsidRPr="0026286D">
        <w:rPr>
          <w:rFonts w:ascii="Arial" w:hAnsi="Arial" w:cs="Arial"/>
          <w:color w:val="000000"/>
        </w:rPr>
        <w:t>perilaku pembelian global,</w:t>
      </w:r>
    </w:p>
    <w:p w:rsidR="000A3693" w:rsidRPr="0026286D" w:rsidRDefault="005C1667" w:rsidP="0070543E">
      <w:pPr>
        <w:numPr>
          <w:ilvl w:val="0"/>
          <w:numId w:val="47"/>
        </w:numPr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 xml:space="preserve">Mampu menjelaskan </w:t>
      </w:r>
      <w:r w:rsidR="000A3693" w:rsidRPr="0026286D">
        <w:rPr>
          <w:rFonts w:ascii="Arial" w:hAnsi="Arial" w:cs="Arial"/>
          <w:color w:val="000000"/>
        </w:rPr>
        <w:t xml:space="preserve">strategi memasuki pasar global. </w:t>
      </w:r>
    </w:p>
    <w:p w:rsidR="005C1667" w:rsidRPr="0026286D" w:rsidRDefault="005C1667" w:rsidP="0070543E">
      <w:pPr>
        <w:numPr>
          <w:ilvl w:val="0"/>
          <w:numId w:val="47"/>
        </w:numPr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 xml:space="preserve">Mampu menjelaskan </w:t>
      </w:r>
      <w:r w:rsidR="000A3693" w:rsidRPr="0026286D">
        <w:rPr>
          <w:rFonts w:ascii="Arial" w:hAnsi="Arial" w:cs="Arial"/>
          <w:color w:val="000000"/>
        </w:rPr>
        <w:t xml:space="preserve">fungsi-fungsi manajemen global </w:t>
      </w:r>
    </w:p>
    <w:p w:rsidR="0070543E" w:rsidRDefault="000A3693" w:rsidP="00DC445A">
      <w:pPr>
        <w:numPr>
          <w:ilvl w:val="0"/>
          <w:numId w:val="47"/>
        </w:numPr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 xml:space="preserve">Mampu menjelaskan </w:t>
      </w:r>
      <w:r w:rsidR="0070543E" w:rsidRPr="0026286D">
        <w:rPr>
          <w:rFonts w:ascii="Arial" w:hAnsi="Arial" w:cs="Arial"/>
          <w:color w:val="000000"/>
        </w:rPr>
        <w:t>pemasaran internet.</w:t>
      </w:r>
    </w:p>
    <w:p w:rsidR="00DC445A" w:rsidRPr="00DC445A" w:rsidRDefault="00DC445A" w:rsidP="00DC445A">
      <w:pPr>
        <w:ind w:left="3240"/>
        <w:rPr>
          <w:rFonts w:ascii="Arial" w:hAnsi="Arial" w:cs="Arial"/>
          <w:color w:val="000000"/>
        </w:rPr>
      </w:pPr>
    </w:p>
    <w:p w:rsidR="000A3693" w:rsidRPr="0026286D" w:rsidRDefault="00AF01EF" w:rsidP="00DC445A">
      <w:pPr>
        <w:numPr>
          <w:ilvl w:val="0"/>
          <w:numId w:val="34"/>
        </w:numPr>
        <w:ind w:left="2970"/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i/>
          <w:color w:val="000000"/>
        </w:rPr>
        <w:t>Out put</w:t>
      </w:r>
      <w:r w:rsidRPr="0026286D">
        <w:rPr>
          <w:rFonts w:ascii="Arial" w:hAnsi="Arial" w:cs="Arial"/>
          <w:color w:val="000000"/>
        </w:rPr>
        <w:t xml:space="preserve"> bagi lulusan mata kuliah</w:t>
      </w:r>
      <w:r w:rsidR="00D27BCB" w:rsidRPr="0026286D">
        <w:rPr>
          <w:rFonts w:ascii="Arial" w:hAnsi="Arial" w:cs="Arial"/>
          <w:color w:val="000000"/>
        </w:rPr>
        <w:t xml:space="preserve"> yaitu </w:t>
      </w:r>
      <w:r w:rsidR="003C45B6" w:rsidRPr="0026286D">
        <w:rPr>
          <w:rFonts w:ascii="Arial" w:hAnsi="Arial" w:cs="Arial"/>
          <w:color w:val="000000"/>
        </w:rPr>
        <w:t xml:space="preserve"> m</w:t>
      </w:r>
      <w:r w:rsidR="00D27BCB" w:rsidRPr="0026286D">
        <w:rPr>
          <w:rFonts w:ascii="Arial" w:hAnsi="Arial" w:cs="Arial"/>
          <w:color w:val="000000"/>
        </w:rPr>
        <w:t xml:space="preserve">ahasiswa </w:t>
      </w:r>
      <w:r w:rsidR="003C45B6" w:rsidRPr="0026286D">
        <w:rPr>
          <w:rFonts w:ascii="Arial" w:hAnsi="Arial" w:cs="Arial"/>
          <w:color w:val="000000"/>
        </w:rPr>
        <w:t xml:space="preserve">mampu </w:t>
      </w:r>
      <w:r w:rsidR="000A3693" w:rsidRPr="0026286D">
        <w:rPr>
          <w:rFonts w:ascii="Arial" w:hAnsi="Arial" w:cs="Arial"/>
          <w:color w:val="000000"/>
        </w:rPr>
        <w:t xml:space="preserve">menjelaskan ruang lingkup pemahaman dan ketrampilan tingkat awal bagi mahasiswa strata satu dalam hal bagaimana memahami adanya lingkungan eksternal yang mempengaruhi kebijakan pengambilan keputusan bidang pemasaran. </w:t>
      </w:r>
    </w:p>
    <w:p w:rsidR="003C45B6" w:rsidRDefault="003C45B6" w:rsidP="000A369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071CD" w:rsidRDefault="00A071CD" w:rsidP="000A369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C445A" w:rsidRDefault="00DC445A" w:rsidP="000A369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071CD" w:rsidRPr="003C45B6" w:rsidRDefault="00A071CD" w:rsidP="000A369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AF01EF" w:rsidRPr="0026286D" w:rsidRDefault="000627FF" w:rsidP="000627FF">
      <w:pPr>
        <w:spacing w:after="120"/>
        <w:rPr>
          <w:rFonts w:ascii="Arial" w:hAnsi="Arial" w:cs="Arial"/>
          <w:b/>
          <w:color w:val="000000"/>
        </w:rPr>
      </w:pPr>
      <w:r w:rsidRPr="0026286D">
        <w:rPr>
          <w:rFonts w:ascii="Arial" w:hAnsi="Arial" w:cs="Arial"/>
          <w:b/>
          <w:color w:val="000000"/>
        </w:rPr>
        <w:lastRenderedPageBreak/>
        <w:t>Pokok Bahasan</w:t>
      </w:r>
      <w:r w:rsidRPr="0026286D">
        <w:rPr>
          <w:rFonts w:ascii="Arial" w:hAnsi="Arial" w:cs="Arial"/>
          <w:b/>
          <w:color w:val="000000"/>
        </w:rPr>
        <w:tab/>
      </w:r>
      <w:r w:rsidR="00AF01EF" w:rsidRPr="0026286D">
        <w:rPr>
          <w:rFonts w:ascii="Arial" w:hAnsi="Arial" w:cs="Arial"/>
          <w:b/>
          <w:color w:val="000000"/>
        </w:rPr>
        <w:t xml:space="preserve">: </w:t>
      </w:r>
    </w:p>
    <w:p w:rsidR="006345C2" w:rsidRPr="0026286D" w:rsidRDefault="008A0851" w:rsidP="00AF6C36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>Ruang lingkup Pemasaran Global</w:t>
      </w:r>
    </w:p>
    <w:p w:rsidR="008A0851" w:rsidRPr="0026286D" w:rsidRDefault="008A0851" w:rsidP="00AF6C36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>Lingkungan Pemasaran Global</w:t>
      </w:r>
    </w:p>
    <w:p w:rsidR="008A0851" w:rsidRPr="0026286D" w:rsidRDefault="008A0851" w:rsidP="008A0851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>Segmentasi Global dan Positioning</w:t>
      </w:r>
    </w:p>
    <w:p w:rsidR="008A0851" w:rsidRPr="0026286D" w:rsidRDefault="008A0851" w:rsidP="008A0851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>Strategi Pemasaran Global.</w:t>
      </w:r>
    </w:p>
    <w:p w:rsidR="008A0851" w:rsidRPr="0026286D" w:rsidRDefault="008A0851" w:rsidP="008A0851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>Kebijakan Produk Global</w:t>
      </w:r>
    </w:p>
    <w:p w:rsidR="008A0851" w:rsidRPr="0026286D" w:rsidRDefault="008A0851" w:rsidP="008A0851">
      <w:pPr>
        <w:numPr>
          <w:ilvl w:val="0"/>
          <w:numId w:val="46"/>
        </w:numPr>
        <w:spacing w:after="120"/>
        <w:rPr>
          <w:rFonts w:ascii="Arial" w:hAnsi="Arial" w:cs="Arial"/>
          <w:color w:val="000000"/>
        </w:rPr>
      </w:pPr>
      <w:r w:rsidRPr="0026286D">
        <w:rPr>
          <w:rFonts w:ascii="Arial" w:hAnsi="Arial" w:cs="Arial"/>
          <w:color w:val="000000"/>
        </w:rPr>
        <w:t>Pemasaran Global dan Internet.</w:t>
      </w: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19"/>
        <w:gridCol w:w="3118"/>
        <w:gridCol w:w="2410"/>
        <w:gridCol w:w="2268"/>
        <w:gridCol w:w="1833"/>
      </w:tblGrid>
      <w:tr w:rsidR="000627FF" w:rsidRPr="000D1CB1" w:rsidTr="00A071CD">
        <w:trPr>
          <w:trHeight w:val="539"/>
          <w:tblHeader/>
        </w:trPr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A071C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A0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A0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A0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D6A18" w:rsidP="00A07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(Indi</w:t>
            </w:r>
            <w:r w:rsidR="000627FF">
              <w:rPr>
                <w:rFonts w:ascii="Arial" w:hAnsi="Arial" w:cs="Arial"/>
                <w:b/>
                <w:bCs/>
                <w:sz w:val="18"/>
                <w:szCs w:val="18"/>
              </w:rPr>
              <w:t>kator)*</w:t>
            </w:r>
          </w:p>
        </w:tc>
        <w:tc>
          <w:tcPr>
            <w:tcW w:w="18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0627FF" w:rsidRPr="000D1CB1" w:rsidTr="00A071CD">
        <w:trPr>
          <w:trHeight w:val="34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A071CD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D100FC" w:rsidRDefault="000627FF" w:rsidP="00DC445A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C4DF9" w:rsidRDefault="000627F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A071C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627FF" w:rsidRPr="000D1CB1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5516E4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66724" w:rsidRDefault="001347E4" w:rsidP="00A071CD">
            <w:pPr>
              <w:ind w:left="296" w:hanging="29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Memahami Pemasaran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6724" w:rsidRDefault="001347E4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Globalisasi Pasar</w:t>
            </w:r>
          </w:p>
          <w:p w:rsidR="001347E4" w:rsidRPr="00E66724" w:rsidRDefault="001347E4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Evolusi Pemasaran Global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66724" w:rsidRDefault="00C82B39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Default="00AC6867" w:rsidP="00A071CD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Keaktifan dalam diskusi.</w:t>
            </w:r>
          </w:p>
          <w:p w:rsidR="00AC6867" w:rsidRPr="00E66724" w:rsidRDefault="00AC6867" w:rsidP="00A071CD">
            <w:pPr>
              <w:ind w:left="283"/>
              <w:jc w:val="lef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E66724" w:rsidRDefault="001B410F" w:rsidP="00A071CD">
            <w:pPr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Lingkungan Ekonomi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Kondisi Ekonomi Dunia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Daya Saing Bangsa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Evolusi kerjasama persetujuan perdagangan Global</w:t>
            </w:r>
          </w:p>
          <w:p w:rsidR="001B410F" w:rsidRPr="00E66724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Teknologi Informasi dan Perubahan Alami Kompetisi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Lingkungan Budaya Global dan Perilaku Pembelian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Budaya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Perbandingan Budaya 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Adaptasi Budaya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Budaya dan Bauran Pemasaran</w:t>
            </w:r>
          </w:p>
          <w:p w:rsidR="001B410F" w:rsidRPr="00E66724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E66724" w:rsidRDefault="001B410F" w:rsidP="00A071CD">
            <w:pPr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 xml:space="preserve"> Lingkungan Politik dan Hukum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Perjanjian Internasional</w:t>
            </w:r>
          </w:p>
          <w:p w:rsidR="001B410F" w:rsidRDefault="001B410F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Hukum Internasional </w:t>
            </w:r>
          </w:p>
          <w:p w:rsidR="001B410F" w:rsidRPr="00E66724" w:rsidRDefault="001B410F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Berbagai isu tentang lintas Negara.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E66724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Segmentasi Global dan Positioning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Alasan segmentasi Internasional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Pendekatan Segementasi Pasar Internasional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Dasar Segmentasi Negara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Sekenario Segmentasi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 Segmentasi Internasional</w:t>
            </w:r>
          </w:p>
          <w:p w:rsidR="001B410F" w:rsidRPr="00E66724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Positioning konsumen global, asing dan local.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lastRenderedPageBreak/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DC4ABD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5</w:t>
            </w:r>
            <w:r w:rsidR="001B410F" w:rsidRPr="00DC4ABD">
              <w:rPr>
                <w:rFonts w:ascii="Arial" w:hAnsi="Arial" w:cs="Arial"/>
              </w:rPr>
              <w:t>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E66724" w:rsidRDefault="001B410F" w:rsidP="00A071CD">
            <w:pPr>
              <w:rPr>
                <w:rFonts w:ascii="Arial" w:hAnsi="Arial" w:cs="Arial"/>
              </w:rPr>
            </w:pPr>
            <w:r>
              <w:t xml:space="preserve"> </w:t>
            </w: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Strategi Pemasaran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 Teknologi Informasi dan Kmpetisi Global.</w:t>
            </w:r>
          </w:p>
          <w:p w:rsidR="001B410F" w:rsidRDefault="001B410F" w:rsidP="00A071CD">
            <w:pPr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Global</w:t>
            </w:r>
          </w:p>
          <w:p w:rsidR="001B410F" w:rsidRDefault="001B410F" w:rsidP="00A071CD">
            <w:pPr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 Pemasaran Global</w:t>
            </w:r>
          </w:p>
          <w:p w:rsidR="001B410F" w:rsidRPr="00E66724" w:rsidRDefault="001B410F" w:rsidP="00A071CD">
            <w:pPr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 regionalisasi pemasaran global.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DC4ABD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</w:t>
            </w:r>
            <w:r w:rsidR="001B410F" w:rsidRPr="00DC4ABD">
              <w:rPr>
                <w:rFonts w:ascii="Arial" w:hAnsi="Arial" w:cs="Arial"/>
              </w:rPr>
              <w:t>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8A56CE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Strategi memasuki pasar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Seleksi Target Pasar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Memilih metode masuk  pasar.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Ekspor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Lisensi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Manufacturing</w:t>
            </w:r>
          </w:p>
          <w:p w:rsidR="001B410F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Venture</w:t>
            </w:r>
          </w:p>
          <w:p w:rsidR="001B410F" w:rsidRPr="00F15209" w:rsidRDefault="001B410F" w:rsidP="00A071C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Aliansi Strategis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  <w:b/>
              </w:rPr>
              <w:t>UJIAN TENGAH SEMESTER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B61A41" w:rsidRDefault="001B410F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05348F" w:rsidRDefault="001B410F" w:rsidP="00A071CD">
            <w:pPr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 xml:space="preserve">Strategi </w:t>
            </w:r>
            <w:r>
              <w:t xml:space="preserve"> </w:t>
            </w:r>
            <w:r>
              <w:rPr>
                <w:rFonts w:ascii="Arial" w:hAnsi="Arial" w:cs="Arial"/>
              </w:rPr>
              <w:t>Sumber Daya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Kompeksitas Sumber Daya Global.</w:t>
            </w:r>
          </w:p>
          <w:p w:rsidR="001B410F" w:rsidRDefault="001B410F" w:rsidP="00A071CD">
            <w:pPr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Strategi sumber daya global.</w:t>
            </w:r>
          </w:p>
          <w:p w:rsidR="001B410F" w:rsidRDefault="001B410F" w:rsidP="00A071CD">
            <w:pPr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Chain dan Functional Interfaces.</w:t>
            </w:r>
          </w:p>
          <w:p w:rsidR="001B410F" w:rsidRDefault="001B410F" w:rsidP="00A071CD">
            <w:pPr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Procurement: Type sourcing strategy.</w:t>
            </w:r>
          </w:p>
          <w:p w:rsidR="001B410F" w:rsidRPr="00024A5E" w:rsidRDefault="001B410F" w:rsidP="00A071CD">
            <w:pPr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Konsekuensi jangka panjang global sourcing.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r w:rsidRPr="00890A9D"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DC4ABD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5</w:t>
            </w:r>
            <w:r w:rsidR="001B410F" w:rsidRPr="00DC4ABD">
              <w:rPr>
                <w:rFonts w:ascii="Arial" w:hAnsi="Arial" w:cs="Arial"/>
              </w:rPr>
              <w:t>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4D3F42" w:rsidRDefault="001B410F" w:rsidP="00A071CD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4D3F42" w:rsidRDefault="001B410F" w:rsidP="00A071CD">
            <w:pPr>
              <w:ind w:left="20" w:hanging="20"/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 xml:space="preserve">Kebijakan Produk Global: </w:t>
            </w:r>
            <w:r>
              <w:t xml:space="preserve"> </w:t>
            </w:r>
            <w:r>
              <w:rPr>
                <w:rFonts w:ascii="Arial" w:hAnsi="Arial" w:cs="Arial"/>
              </w:rPr>
              <w:t>Pengembangan Produk Baru untuk Pasar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 Produk Global</w:t>
            </w:r>
          </w:p>
          <w:p w:rsidR="001B410F" w:rsidRDefault="001B410F" w:rsidP="00A071CD">
            <w:pPr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Standarisasi VS Customisasi.</w:t>
            </w:r>
          </w:p>
          <w:p w:rsidR="001B410F" w:rsidRDefault="001B410F" w:rsidP="00A071CD">
            <w:pPr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 Multinasional.</w:t>
            </w:r>
          </w:p>
          <w:p w:rsidR="001B410F" w:rsidRPr="004D3F42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Pengembangan Produk baru untuk Pasar Global.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DC4ABD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5</w:t>
            </w:r>
            <w:r w:rsidR="001B410F" w:rsidRPr="00DC4ABD">
              <w:rPr>
                <w:rFonts w:ascii="Arial" w:hAnsi="Arial" w:cs="Arial"/>
              </w:rPr>
              <w:t>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4D3F42" w:rsidRDefault="001B410F" w:rsidP="00A071CD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4D3F42" w:rsidRDefault="001B410F" w:rsidP="00A071CD">
            <w:pPr>
              <w:ind w:left="20" w:hanging="20"/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Kebijakan Produk Global: Pemasaran Produk dan Jasa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 Merek Global.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Mengelola Produk Multinasional.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Piracy.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Origin Stereotype.</w:t>
            </w:r>
          </w:p>
          <w:p w:rsidR="001B410F" w:rsidRPr="004D3F42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Pemasaran Jasa Global.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DC4ABD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5</w:t>
            </w:r>
            <w:r w:rsidR="001B410F" w:rsidRPr="00DC4ABD">
              <w:rPr>
                <w:rFonts w:ascii="Arial" w:hAnsi="Arial" w:cs="Arial"/>
              </w:rPr>
              <w:t>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4D3F42" w:rsidRDefault="001B410F" w:rsidP="00A071CD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EC3BF6" w:rsidRDefault="001B410F" w:rsidP="00A071CD">
            <w:pPr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Harga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Penentu Harga Pasar Asing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Eskalasi Pengelolaan Harga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Penetapan Harga pada lingkungan inflasi.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Harga Global dan Perubahan Nilai Tukar.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Pricing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Regulasi Antidumping</w:t>
            </w:r>
          </w:p>
          <w:p w:rsidR="001B410F" w:rsidRPr="004D3F42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Coutertrade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DC4ABD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</w:t>
            </w:r>
            <w:r w:rsidR="001B410F" w:rsidRPr="00DC4ABD">
              <w:rPr>
                <w:rFonts w:ascii="Arial" w:hAnsi="Arial" w:cs="Arial"/>
              </w:rPr>
              <w:t>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4D3F42" w:rsidRDefault="001B410F" w:rsidP="00A071CD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EC3BF6" w:rsidRDefault="001B410F" w:rsidP="00A071CD">
            <w:pPr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Komunikasi dengan Konsumen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Periklanan Global dan Budaya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Anggaran Periklanan Global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 Kreatif 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Keputusan Media Massa Global.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Regulasi Periklanan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Agensi Iklan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Bentuk lain Komunikasi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Komunikasi Integrasi </w:t>
            </w:r>
            <w:r>
              <w:rPr>
                <w:rFonts w:ascii="Arial" w:hAnsi="Arial" w:cs="Arial"/>
              </w:rPr>
              <w:lastRenderedPageBreak/>
              <w:t>Pemasaran Global.</w:t>
            </w:r>
          </w:p>
          <w:p w:rsidR="001B410F" w:rsidRPr="004D3F42" w:rsidRDefault="001B410F" w:rsidP="00A071C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lastRenderedPageBreak/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4D3F42" w:rsidRDefault="001B410F" w:rsidP="00A071CD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lastRenderedPageBreak/>
              <w:t>XIIII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EC3BF6" w:rsidRDefault="001B410F" w:rsidP="00A071CD">
            <w:pPr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Global Logistics dan Distribusi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Mengelola Logistik Global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Perdagangan Bebas</w:t>
            </w:r>
          </w:p>
          <w:p w:rsidR="001B410F" w:rsidRPr="004D3F42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Retailing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2%</w:t>
            </w:r>
          </w:p>
        </w:tc>
      </w:tr>
      <w:tr w:rsidR="001B410F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10F" w:rsidRPr="004D3F42" w:rsidRDefault="001B410F" w:rsidP="00A071CD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EC3BF6" w:rsidRDefault="001B410F" w:rsidP="00A071CD">
            <w:pPr>
              <w:jc w:val="left"/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 xml:space="preserve">Mampu menjelaskan </w:t>
            </w:r>
            <w:r>
              <w:rPr>
                <w:rFonts w:ascii="Arial" w:hAnsi="Arial" w:cs="Arial"/>
              </w:rPr>
              <w:t>Operasi Pemasaran Global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Perencanaan Strategi Pemasaran Global.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Disain organiasi global</w:t>
            </w:r>
          </w:p>
          <w:p w:rsidR="001B410F" w:rsidRDefault="001B410F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Pengelolaan Manajemen Merek Global.</w:t>
            </w:r>
          </w:p>
          <w:p w:rsidR="001B410F" w:rsidRPr="004D3F42" w:rsidRDefault="001B410F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Pengawasan Pemasaran Global.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AC6867" w:rsidRDefault="001B410F" w:rsidP="00A071CD">
            <w:pPr>
              <w:rPr>
                <w:rFonts w:ascii="Arial" w:hAnsi="Arial" w:cs="Arial"/>
              </w:rPr>
            </w:pPr>
            <w:r w:rsidRPr="00AC6867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410F" w:rsidRPr="00DC4ABD" w:rsidRDefault="001B410F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2%</w:t>
            </w:r>
          </w:p>
        </w:tc>
      </w:tr>
      <w:tr w:rsidR="00BD6E71" w:rsidRPr="00DC4ABD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6E71" w:rsidRPr="004D3F42" w:rsidRDefault="00BD6E71" w:rsidP="00A071CD">
            <w:pPr>
              <w:jc w:val="center"/>
              <w:rPr>
                <w:rFonts w:ascii="Arial" w:hAnsi="Arial" w:cs="Arial"/>
              </w:rPr>
            </w:pPr>
            <w:r w:rsidRPr="004D3F42">
              <w:rPr>
                <w:rFonts w:ascii="Arial" w:hAnsi="Arial" w:cs="Arial"/>
              </w:rPr>
              <w:t>XV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6E71" w:rsidRPr="00EC3BF6" w:rsidRDefault="00AC6867" w:rsidP="00A071C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Mampu menjelaskan </w:t>
            </w:r>
            <w:r w:rsidR="00BD6E71">
              <w:rPr>
                <w:rFonts w:ascii="Arial" w:hAnsi="Arial" w:cs="Arial"/>
              </w:rPr>
              <w:t>Pemasaran Global dan Internet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6E71" w:rsidRDefault="00BD6E71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dan Pasar Global</w:t>
            </w:r>
          </w:p>
          <w:p w:rsidR="00BD6E71" w:rsidRDefault="00BD6E71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Hambatan Struktural Global E-Commerce.</w:t>
            </w:r>
          </w:p>
          <w:p w:rsidR="00BD6E71" w:rsidRDefault="00BD6E71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Penggunaan Internet untuk memahami konsumen global.</w:t>
            </w:r>
          </w:p>
          <w:p w:rsidR="00BD6E71" w:rsidRPr="004D3F42" w:rsidRDefault="00BD6E71" w:rsidP="00A0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Keuntungan Kompetitif dan Cyberspace.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6E71" w:rsidRPr="004D3F42" w:rsidRDefault="00C82B39" w:rsidP="00A071CD">
            <w:pPr>
              <w:ind w:right="-108"/>
              <w:rPr>
                <w:rFonts w:ascii="Arial" w:hAnsi="Arial" w:cs="Arial"/>
              </w:rPr>
            </w:pPr>
            <w:r w:rsidRPr="00C82B39">
              <w:rPr>
                <w:rFonts w:ascii="Arial" w:hAnsi="Arial" w:cs="Arial"/>
              </w:rPr>
              <w:t>Ceramah dan Diskusi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6E71" w:rsidRPr="00DC4ABD" w:rsidRDefault="00AC6867" w:rsidP="00A071CD">
            <w:pPr>
              <w:ind w:left="79"/>
              <w:jc w:val="left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Keaktifan dalam diskusi.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6E71" w:rsidRPr="00DC4ABD" w:rsidRDefault="00DC4193" w:rsidP="00A071CD">
            <w:pPr>
              <w:jc w:val="center"/>
              <w:rPr>
                <w:rFonts w:ascii="Arial" w:hAnsi="Arial" w:cs="Arial"/>
              </w:rPr>
            </w:pPr>
            <w:r w:rsidRPr="00DC4ABD">
              <w:rPr>
                <w:rFonts w:ascii="Arial" w:hAnsi="Arial" w:cs="Arial"/>
              </w:rPr>
              <w:t>2%</w:t>
            </w:r>
          </w:p>
        </w:tc>
      </w:tr>
      <w:tr w:rsidR="00BD6E71" w:rsidRPr="000D1CB1" w:rsidTr="00A071CD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6E71" w:rsidRDefault="00BD6E71" w:rsidP="00A07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6E71" w:rsidRPr="004D3F42" w:rsidRDefault="00BD6E71" w:rsidP="00A071CD">
            <w:pPr>
              <w:jc w:val="center"/>
              <w:rPr>
                <w:rFonts w:ascii="Arial" w:hAnsi="Arial" w:cs="Arial"/>
                <w:b/>
              </w:rPr>
            </w:pPr>
            <w:r w:rsidRPr="004D3F42">
              <w:rPr>
                <w:rFonts w:ascii="Arial" w:hAnsi="Arial" w:cs="Arial"/>
                <w:b/>
              </w:rPr>
              <w:t>UJIAN AKHIR SEMESTER</w:t>
            </w:r>
          </w:p>
        </w:tc>
      </w:tr>
    </w:tbl>
    <w:p w:rsidR="00AF01EF" w:rsidRPr="003651D2" w:rsidRDefault="00AF01EF" w:rsidP="000627F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3651D2">
        <w:rPr>
          <w:rFonts w:ascii="Arial" w:hAnsi="Arial" w:cs="Arial"/>
          <w:i/>
          <w:color w:val="000000"/>
        </w:rPr>
        <w:t>catat</w:t>
      </w:r>
      <w:r w:rsidR="008937F6" w:rsidRPr="003651D2">
        <w:rPr>
          <w:rFonts w:ascii="Arial" w:hAnsi="Arial" w:cs="Arial"/>
          <w:i/>
          <w:color w:val="000000"/>
        </w:rPr>
        <w:t>a</w:t>
      </w:r>
      <w:r w:rsidR="003651D2">
        <w:rPr>
          <w:rFonts w:ascii="Arial" w:hAnsi="Arial" w:cs="Arial"/>
          <w:i/>
          <w:color w:val="000000"/>
        </w:rPr>
        <w:t>n : Penjelasan pengisian tabel</w:t>
      </w:r>
      <w:r w:rsidRPr="003651D2">
        <w:rPr>
          <w:rFonts w:ascii="Arial" w:hAnsi="Arial" w:cs="Arial"/>
          <w:i/>
          <w:color w:val="000000"/>
        </w:rPr>
        <w:t xml:space="preserve"> dapat dilihat dalam WI Rancangan Perkuliahan</w:t>
      </w:r>
    </w:p>
    <w:p w:rsidR="00A071CD" w:rsidRDefault="00A071CD" w:rsidP="009A24AD">
      <w:pPr>
        <w:ind w:left="1320" w:hanging="1320"/>
        <w:rPr>
          <w:rFonts w:ascii="Arial" w:hAnsi="Arial" w:cs="Arial"/>
          <w:b/>
          <w:color w:val="000000"/>
        </w:rPr>
      </w:pPr>
    </w:p>
    <w:p w:rsidR="00AF01EF" w:rsidRDefault="00FF5C41" w:rsidP="009A24AD">
      <w:pPr>
        <w:ind w:left="1320" w:hanging="13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AF01EF" w:rsidRPr="007F7E19">
        <w:rPr>
          <w:rFonts w:ascii="Arial" w:hAnsi="Arial" w:cs="Arial"/>
          <w:b/>
          <w:color w:val="000000"/>
        </w:rPr>
        <w:lastRenderedPageBreak/>
        <w:t>Kompenen Penil</w:t>
      </w:r>
      <w:r w:rsidR="003651D2">
        <w:rPr>
          <w:rFonts w:ascii="Arial" w:hAnsi="Arial" w:cs="Arial"/>
          <w:b/>
          <w:color w:val="000000"/>
        </w:rPr>
        <w:t>a</w:t>
      </w:r>
      <w:r w:rsidR="00AF01EF" w:rsidRPr="007F7E19">
        <w:rPr>
          <w:rFonts w:ascii="Arial" w:hAnsi="Arial" w:cs="Arial"/>
          <w:b/>
          <w:color w:val="000000"/>
        </w:rPr>
        <w:t>ian</w:t>
      </w:r>
      <w:r w:rsidR="00AF01EF">
        <w:rPr>
          <w:rFonts w:ascii="Arial" w:hAnsi="Arial" w:cs="Arial"/>
          <w:color w:val="000000"/>
        </w:rPr>
        <w:t xml:space="preserve"> : Rincian besarnya bobot penil</w:t>
      </w:r>
      <w:r w:rsidR="003651D2">
        <w:rPr>
          <w:rFonts w:ascii="Arial" w:hAnsi="Arial" w:cs="Arial"/>
          <w:color w:val="000000"/>
        </w:rPr>
        <w:t>a</w:t>
      </w:r>
      <w:r w:rsidR="00AF01EF">
        <w:rPr>
          <w:rFonts w:ascii="Arial" w:hAnsi="Arial" w:cs="Arial"/>
          <w:color w:val="000000"/>
        </w:rPr>
        <w:t>ia</w:t>
      </w:r>
      <w:r w:rsidR="00292931">
        <w:rPr>
          <w:rFonts w:ascii="Arial" w:hAnsi="Arial" w:cs="Arial"/>
          <w:color w:val="000000"/>
        </w:rPr>
        <w:t>n mata kuliah, acuan secara rinci adalah sebagai berikut:</w:t>
      </w:r>
    </w:p>
    <w:p w:rsidR="00292931" w:rsidRDefault="00D11E65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</w:r>
      <w:r w:rsidR="007B5BEC">
        <w:rPr>
          <w:rFonts w:ascii="Arial" w:hAnsi="Arial" w:cs="Arial"/>
          <w:color w:val="000000"/>
        </w:rPr>
        <w:t>: 10%</w:t>
      </w:r>
    </w:p>
    <w:p w:rsidR="00292931" w:rsidRDefault="002830C3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2</w:t>
      </w:r>
      <w:r w:rsidR="007B5BEC">
        <w:rPr>
          <w:rFonts w:ascii="Arial" w:hAnsi="Arial" w:cs="Arial"/>
          <w:color w:val="000000"/>
        </w:rPr>
        <w:t>0%</w:t>
      </w:r>
    </w:p>
    <w:p w:rsidR="00292931" w:rsidRDefault="002830C3" w:rsidP="00292931">
      <w:pPr>
        <w:numPr>
          <w:ilvl w:val="0"/>
          <w:numId w:val="37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3</w:t>
      </w:r>
      <w:r w:rsidR="007B5BEC">
        <w:rPr>
          <w:rFonts w:ascii="Arial" w:hAnsi="Arial" w:cs="Arial"/>
          <w:color w:val="000000"/>
        </w:rPr>
        <w:t>0%</w:t>
      </w:r>
    </w:p>
    <w:p w:rsidR="00AF01EF" w:rsidRPr="007B5BEC" w:rsidRDefault="00D11E65" w:rsidP="00AF01EF">
      <w:pPr>
        <w:numPr>
          <w:ilvl w:val="0"/>
          <w:numId w:val="37"/>
        </w:numPr>
        <w:spacing w:line="360" w:lineRule="auto"/>
        <w:ind w:left="5245" w:hanging="2617"/>
        <w:rPr>
          <w:rFonts w:ascii="Arial" w:hAnsi="Arial" w:cs="Arial"/>
          <w:b/>
        </w:rPr>
      </w:pPr>
      <w:r w:rsidRPr="007B5BEC">
        <w:rPr>
          <w:rFonts w:ascii="Arial" w:hAnsi="Arial" w:cs="Arial"/>
          <w:color w:val="000000"/>
        </w:rPr>
        <w:t xml:space="preserve">Tugas-Tugas  </w:t>
      </w:r>
      <w:r w:rsidR="002830C3" w:rsidRPr="007B5BEC">
        <w:rPr>
          <w:rFonts w:ascii="Arial" w:hAnsi="Arial" w:cs="Arial"/>
          <w:color w:val="000000"/>
        </w:rPr>
        <w:t>: 4</w:t>
      </w:r>
      <w:r w:rsidR="007B5BEC" w:rsidRPr="007B5BEC">
        <w:rPr>
          <w:rFonts w:ascii="Arial" w:hAnsi="Arial" w:cs="Arial"/>
          <w:color w:val="000000"/>
        </w:rPr>
        <w:t xml:space="preserve">0% </w:t>
      </w:r>
      <w:r w:rsidR="00292931" w:rsidRPr="007B5BEC">
        <w:rPr>
          <w:rFonts w:ascii="Arial" w:hAnsi="Arial" w:cs="Arial"/>
          <w:color w:val="000000"/>
        </w:rPr>
        <w:t xml:space="preserve"> </w:t>
      </w:r>
    </w:p>
    <w:p w:rsidR="008A0851" w:rsidRDefault="008A0851" w:rsidP="009A24AD">
      <w:pPr>
        <w:rPr>
          <w:rFonts w:ascii="Arial" w:hAnsi="Arial" w:cs="Arial"/>
          <w:b/>
        </w:rPr>
      </w:pPr>
    </w:p>
    <w:p w:rsidR="00A071CD" w:rsidRDefault="00A071CD" w:rsidP="009A24AD">
      <w:pPr>
        <w:rPr>
          <w:rFonts w:ascii="Arial" w:hAnsi="Arial" w:cs="Arial"/>
          <w:b/>
        </w:rPr>
      </w:pPr>
    </w:p>
    <w:p w:rsidR="00AF01EF" w:rsidRDefault="00AF01EF" w:rsidP="009A2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Pustaka</w:t>
      </w:r>
      <w:r w:rsidR="00DC4193">
        <w:rPr>
          <w:rFonts w:ascii="Arial" w:hAnsi="Arial" w:cs="Arial"/>
          <w:b/>
        </w:rPr>
        <w:t>:</w:t>
      </w:r>
    </w:p>
    <w:p w:rsidR="00942D84" w:rsidRDefault="00942D84" w:rsidP="00DC4193">
      <w:pPr>
        <w:rPr>
          <w:rFonts w:ascii="Arial" w:hAnsi="Arial" w:cs="Arial"/>
        </w:rPr>
      </w:pPr>
      <w:r>
        <w:rPr>
          <w:rFonts w:ascii="Arial" w:hAnsi="Arial" w:cs="Arial"/>
        </w:rPr>
        <w:t>Cateora, Philip R dan Graham, John L (2007). Pemasaran Internasional, edisi 13, Salemba Empat, Jakarta.</w:t>
      </w:r>
    </w:p>
    <w:p w:rsidR="00DC4193" w:rsidRDefault="00DC4193" w:rsidP="00DC4193">
      <w:pPr>
        <w:rPr>
          <w:rFonts w:ascii="Arial" w:hAnsi="Arial" w:cs="Arial"/>
        </w:rPr>
      </w:pPr>
      <w:r>
        <w:rPr>
          <w:rFonts w:ascii="Arial" w:hAnsi="Arial" w:cs="Arial"/>
        </w:rPr>
        <w:t>Budiarto, Teguh dan Ciptono, Fandy (1997), Pemasaran Internasional, Edisi Pertama, BPFE, Yogyakarta.</w:t>
      </w:r>
    </w:p>
    <w:p w:rsidR="00DC4193" w:rsidRDefault="00DC4193" w:rsidP="009A24AD">
      <w:pPr>
        <w:rPr>
          <w:rFonts w:ascii="Arial" w:hAnsi="Arial" w:cs="Arial"/>
        </w:rPr>
      </w:pPr>
      <w:r>
        <w:rPr>
          <w:rFonts w:ascii="Arial" w:hAnsi="Arial" w:cs="Arial"/>
        </w:rPr>
        <w:t>Kotabe, Masaaki and Helsen, Kristiaan (2004). Global Marketing Management, Third Edition, John Wiley and Sons,Inc. USA</w:t>
      </w:r>
      <w:r w:rsidR="00942D84">
        <w:rPr>
          <w:rFonts w:ascii="Arial" w:hAnsi="Arial" w:cs="Arial"/>
        </w:rPr>
        <w:t>.</w:t>
      </w:r>
    </w:p>
    <w:p w:rsidR="00942D84" w:rsidRDefault="00FF5AE8" w:rsidP="009A24AD">
      <w:pPr>
        <w:rPr>
          <w:rFonts w:ascii="Arial" w:hAnsi="Arial" w:cs="Arial"/>
        </w:rPr>
      </w:pPr>
      <w:r>
        <w:rPr>
          <w:rFonts w:ascii="Arial" w:hAnsi="Arial" w:cs="Arial"/>
        </w:rPr>
        <w:t>Kotler,Philip and</w:t>
      </w:r>
      <w:r w:rsidR="00942D84">
        <w:rPr>
          <w:rFonts w:ascii="Arial" w:hAnsi="Arial" w:cs="Arial"/>
        </w:rPr>
        <w:t xml:space="preserve"> Keller, Kevin Lane (2007). Marketing Management, 12</w:t>
      </w:r>
      <w:r w:rsidR="00942D84" w:rsidRPr="00942D84">
        <w:rPr>
          <w:rFonts w:ascii="Arial" w:hAnsi="Arial" w:cs="Arial"/>
          <w:vertAlign w:val="superscript"/>
        </w:rPr>
        <w:t>th</w:t>
      </w:r>
      <w:r w:rsidR="00942D84">
        <w:rPr>
          <w:rFonts w:ascii="Arial" w:hAnsi="Arial" w:cs="Arial"/>
        </w:rPr>
        <w:t xml:space="preserve"> edition, Pearson Education, Internation</w:t>
      </w:r>
      <w:r>
        <w:rPr>
          <w:rFonts w:ascii="Arial" w:hAnsi="Arial" w:cs="Arial"/>
        </w:rPr>
        <w:t>al Edition.</w:t>
      </w:r>
    </w:p>
    <w:p w:rsidR="00DC4193" w:rsidRPr="00DC4193" w:rsidRDefault="00DC4193" w:rsidP="009A24AD">
      <w:pPr>
        <w:rPr>
          <w:rFonts w:ascii="Arial" w:hAnsi="Arial" w:cs="Arial"/>
          <w:b/>
        </w:rPr>
      </w:pPr>
      <w:r>
        <w:rPr>
          <w:rFonts w:ascii="Arial" w:hAnsi="Arial" w:cs="Arial"/>
        </w:rPr>
        <w:t>Kristanto, Jajat (2011). Manajemen Pemasaran Internasional:Sebuah Pendekatan Strategi, Erlangga, Jakarta.</w:t>
      </w:r>
    </w:p>
    <w:p w:rsidR="004D70C6" w:rsidRDefault="004D70C6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Default="00FF5C41" w:rsidP="00AF01EF">
      <w:pPr>
        <w:rPr>
          <w:rFonts w:ascii="Arial" w:hAnsi="Arial" w:cs="Arial"/>
          <w:b/>
        </w:rPr>
      </w:pPr>
    </w:p>
    <w:p w:rsidR="00FF5C41" w:rsidRPr="00FC6CF4" w:rsidRDefault="00FF5C41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Tr="00DC17CB">
        <w:trPr>
          <w:trHeight w:val="321"/>
        </w:trPr>
        <w:tc>
          <w:tcPr>
            <w:tcW w:w="3205" w:type="dxa"/>
          </w:tcPr>
          <w:p w:rsidR="004D70C6" w:rsidRDefault="00F270A5" w:rsidP="00DC17CB">
            <w:pPr>
              <w:pStyle w:val="Footer"/>
            </w:pPr>
            <w:r>
              <w:t>Jakarta, 01 Maret 2014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jc w:val="center"/>
            </w:pPr>
            <w:r>
              <w:t>Nama Fungsi</w:t>
            </w:r>
          </w:p>
        </w:tc>
        <w:tc>
          <w:tcPr>
            <w:tcW w:w="4568" w:type="dxa"/>
          </w:tcPr>
          <w:p w:rsidR="004D70C6" w:rsidRDefault="004D70C6" w:rsidP="00DC17CB">
            <w:pPr>
              <w:pStyle w:val="Footer"/>
              <w:jc w:val="center"/>
            </w:pPr>
            <w:r>
              <w:t>Paraf</w:t>
            </w:r>
          </w:p>
        </w:tc>
      </w:tr>
      <w:tr w:rsidR="004D70C6" w:rsidTr="00DC17CB">
        <w:trPr>
          <w:trHeight w:val="321"/>
        </w:trPr>
        <w:tc>
          <w:tcPr>
            <w:tcW w:w="3205" w:type="dxa"/>
          </w:tcPr>
          <w:p w:rsidR="004D70C6" w:rsidRDefault="004D70C6" w:rsidP="00DC17CB">
            <w:pPr>
              <w:pStyle w:val="Footer"/>
            </w:pPr>
            <w:r>
              <w:t>Dibuat Oleh</w:t>
            </w:r>
          </w:p>
        </w:tc>
        <w:tc>
          <w:tcPr>
            <w:tcW w:w="6018" w:type="dxa"/>
          </w:tcPr>
          <w:p w:rsidR="00A071CD" w:rsidRPr="00A071CD" w:rsidRDefault="00A071CD" w:rsidP="00A071C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071CD">
              <w:rPr>
                <w:rFonts w:ascii="Arial" w:hAnsi="Arial" w:cs="Arial"/>
              </w:rPr>
              <w:t xml:space="preserve">Dosen Pengampu / Koordinator MK </w:t>
            </w:r>
            <w:r>
              <w:rPr>
                <w:rFonts w:ascii="Arial" w:hAnsi="Arial" w:cs="Arial"/>
              </w:rPr>
              <w:t>:</w:t>
            </w:r>
          </w:p>
          <w:p w:rsidR="004D70C6" w:rsidRDefault="0026286D" w:rsidP="00DC17CB">
            <w:pPr>
              <w:pStyle w:val="Footer"/>
              <w:rPr>
                <w:rFonts w:ascii="Arial" w:hAnsi="Arial" w:cs="Arial"/>
              </w:rPr>
            </w:pPr>
            <w:r w:rsidRPr="00A071CD">
              <w:rPr>
                <w:rFonts w:ascii="Arial" w:hAnsi="Arial" w:cs="Arial"/>
              </w:rPr>
              <w:t>Arief Bowo Prayoga K,SE.,MM</w:t>
            </w:r>
          </w:p>
          <w:p w:rsidR="00350826" w:rsidRPr="00A071CD" w:rsidRDefault="00350826" w:rsidP="00DC17CB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4D70C6" w:rsidRDefault="004D70C6" w:rsidP="00DC17CB">
            <w:pPr>
              <w:pStyle w:val="Footer"/>
            </w:pPr>
          </w:p>
        </w:tc>
      </w:tr>
      <w:tr w:rsidR="00A071CD" w:rsidTr="00DC17CB">
        <w:trPr>
          <w:trHeight w:val="321"/>
        </w:trPr>
        <w:tc>
          <w:tcPr>
            <w:tcW w:w="3205" w:type="dxa"/>
          </w:tcPr>
          <w:p w:rsidR="00A071CD" w:rsidRDefault="00A071CD" w:rsidP="00DC17CB">
            <w:pPr>
              <w:pStyle w:val="Footer"/>
            </w:pPr>
            <w:r>
              <w:t>Diperiksa Oleh</w:t>
            </w:r>
          </w:p>
        </w:tc>
        <w:tc>
          <w:tcPr>
            <w:tcW w:w="6018" w:type="dxa"/>
          </w:tcPr>
          <w:p w:rsidR="00A071CD" w:rsidRDefault="00A071CD" w:rsidP="00C2722B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Ketua Program Studi</w:t>
            </w:r>
          </w:p>
          <w:p w:rsidR="00A071CD" w:rsidRDefault="00A071CD" w:rsidP="00C2722B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Rina Astini, SE, MM</w:t>
            </w:r>
          </w:p>
          <w:p w:rsidR="00350826" w:rsidRPr="003E7666" w:rsidRDefault="00350826" w:rsidP="00C2722B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A071CD" w:rsidRDefault="00A071CD" w:rsidP="00DC17CB">
            <w:pPr>
              <w:pStyle w:val="Footer"/>
            </w:pPr>
          </w:p>
        </w:tc>
      </w:tr>
      <w:tr w:rsidR="00A071CD" w:rsidTr="00DC17CB">
        <w:trPr>
          <w:trHeight w:val="341"/>
        </w:trPr>
        <w:tc>
          <w:tcPr>
            <w:tcW w:w="3205" w:type="dxa"/>
          </w:tcPr>
          <w:p w:rsidR="00A071CD" w:rsidRDefault="00A071CD" w:rsidP="00DC17CB">
            <w:pPr>
              <w:pStyle w:val="Footer"/>
            </w:pPr>
            <w:r>
              <w:t>Disahkan Oleh</w:t>
            </w:r>
          </w:p>
        </w:tc>
        <w:tc>
          <w:tcPr>
            <w:tcW w:w="6018" w:type="dxa"/>
          </w:tcPr>
          <w:p w:rsidR="00A071CD" w:rsidRDefault="00A071CD" w:rsidP="00C2722B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Dekan</w:t>
            </w:r>
          </w:p>
          <w:p w:rsidR="00A071CD" w:rsidRDefault="00A071CD" w:rsidP="00C2722B">
            <w:pPr>
              <w:pStyle w:val="Footer"/>
              <w:tabs>
                <w:tab w:val="clear" w:pos="4680"/>
                <w:tab w:val="clear" w:pos="9360"/>
                <w:tab w:val="left" w:pos="3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Wiwik Utami, Ak, MS, CA</w:t>
            </w:r>
            <w:r>
              <w:rPr>
                <w:rFonts w:ascii="Arial" w:hAnsi="Arial" w:cs="Arial"/>
              </w:rPr>
              <w:tab/>
            </w:r>
          </w:p>
          <w:p w:rsidR="00350826" w:rsidRPr="003E7666" w:rsidRDefault="00350826" w:rsidP="00C2722B">
            <w:pPr>
              <w:pStyle w:val="Footer"/>
              <w:tabs>
                <w:tab w:val="clear" w:pos="4680"/>
                <w:tab w:val="clear" w:pos="9360"/>
                <w:tab w:val="left" w:pos="3855"/>
              </w:tabs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A071CD" w:rsidRDefault="00A071CD" w:rsidP="00DC17CB">
            <w:pPr>
              <w:pStyle w:val="Footer"/>
            </w:pPr>
          </w:p>
        </w:tc>
      </w:tr>
    </w:tbl>
    <w:p w:rsidR="00A962E8" w:rsidRDefault="00A962E8" w:rsidP="00AF01EF"/>
    <w:sectPr w:rsidR="00A962E8" w:rsidSect="000627FF">
      <w:footerReference w:type="default" r:id="rId9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70" w:rsidRDefault="00241F70" w:rsidP="00AF01EF">
      <w:pPr>
        <w:spacing w:line="240" w:lineRule="auto"/>
      </w:pPr>
      <w:r>
        <w:separator/>
      </w:r>
    </w:p>
  </w:endnote>
  <w:endnote w:type="continuationSeparator" w:id="0">
    <w:p w:rsidR="00241F70" w:rsidRDefault="00241F70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70" w:rsidRDefault="00241F70" w:rsidP="00AF01EF">
      <w:pPr>
        <w:spacing w:line="240" w:lineRule="auto"/>
      </w:pPr>
      <w:r>
        <w:separator/>
      </w:r>
    </w:p>
  </w:footnote>
  <w:footnote w:type="continuationSeparator" w:id="0">
    <w:p w:rsidR="00241F70" w:rsidRDefault="00241F70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3F20488"/>
    <w:multiLevelType w:val="hybridMultilevel"/>
    <w:tmpl w:val="6FB05094"/>
    <w:lvl w:ilvl="0" w:tplc="E08ABC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13A92"/>
    <w:multiLevelType w:val="hybridMultilevel"/>
    <w:tmpl w:val="D82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0DE0"/>
    <w:multiLevelType w:val="hybridMultilevel"/>
    <w:tmpl w:val="36AE0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A10D5"/>
    <w:multiLevelType w:val="hybridMultilevel"/>
    <w:tmpl w:val="D82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2F6A372A"/>
    <w:multiLevelType w:val="hybridMultilevel"/>
    <w:tmpl w:val="D6807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4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5">
    <w:nsid w:val="39314165"/>
    <w:multiLevelType w:val="hybridMultilevel"/>
    <w:tmpl w:val="585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6C2202"/>
    <w:multiLevelType w:val="hybridMultilevel"/>
    <w:tmpl w:val="277A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47275793"/>
    <w:multiLevelType w:val="hybridMultilevel"/>
    <w:tmpl w:val="8C96CC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1D3523"/>
    <w:multiLevelType w:val="hybridMultilevel"/>
    <w:tmpl w:val="04F0DA8E"/>
    <w:lvl w:ilvl="0" w:tplc="B5AE6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8E1F8C"/>
    <w:multiLevelType w:val="hybridMultilevel"/>
    <w:tmpl w:val="32C2B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4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5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73A8E"/>
    <w:multiLevelType w:val="hybridMultilevel"/>
    <w:tmpl w:val="596E2E50"/>
    <w:lvl w:ilvl="0" w:tplc="6A407AEE">
      <w:start w:val="1"/>
      <w:numFmt w:val="lowerLetter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num w:numId="1">
    <w:abstractNumId w:val="11"/>
  </w:num>
  <w:num w:numId="2">
    <w:abstractNumId w:val="36"/>
  </w:num>
  <w:num w:numId="3">
    <w:abstractNumId w:val="40"/>
  </w:num>
  <w:num w:numId="4">
    <w:abstractNumId w:val="20"/>
  </w:num>
  <w:num w:numId="5">
    <w:abstractNumId w:val="39"/>
  </w:num>
  <w:num w:numId="6">
    <w:abstractNumId w:val="9"/>
  </w:num>
  <w:num w:numId="7">
    <w:abstractNumId w:val="15"/>
  </w:num>
  <w:num w:numId="8">
    <w:abstractNumId w:val="12"/>
  </w:num>
  <w:num w:numId="9">
    <w:abstractNumId w:val="35"/>
  </w:num>
  <w:num w:numId="10">
    <w:abstractNumId w:val="4"/>
  </w:num>
  <w:num w:numId="11">
    <w:abstractNumId w:val="31"/>
  </w:num>
  <w:num w:numId="12">
    <w:abstractNumId w:val="42"/>
  </w:num>
  <w:num w:numId="13">
    <w:abstractNumId w:val="30"/>
  </w:num>
  <w:num w:numId="14">
    <w:abstractNumId w:val="33"/>
  </w:num>
  <w:num w:numId="15">
    <w:abstractNumId w:val="10"/>
  </w:num>
  <w:num w:numId="16">
    <w:abstractNumId w:val="0"/>
  </w:num>
  <w:num w:numId="17">
    <w:abstractNumId w:val="41"/>
  </w:num>
  <w:num w:numId="18">
    <w:abstractNumId w:val="38"/>
  </w:num>
  <w:num w:numId="19">
    <w:abstractNumId w:val="16"/>
  </w:num>
  <w:num w:numId="20">
    <w:abstractNumId w:val="44"/>
  </w:num>
  <w:num w:numId="21">
    <w:abstractNumId w:val="1"/>
  </w:num>
  <w:num w:numId="22">
    <w:abstractNumId w:val="28"/>
  </w:num>
  <w:num w:numId="23">
    <w:abstractNumId w:val="14"/>
  </w:num>
  <w:num w:numId="24">
    <w:abstractNumId w:val="26"/>
  </w:num>
  <w:num w:numId="25">
    <w:abstractNumId w:val="45"/>
  </w:num>
  <w:num w:numId="26">
    <w:abstractNumId w:val="43"/>
  </w:num>
  <w:num w:numId="27">
    <w:abstractNumId w:val="8"/>
  </w:num>
  <w:num w:numId="28">
    <w:abstractNumId w:val="24"/>
  </w:num>
  <w:num w:numId="29">
    <w:abstractNumId w:val="19"/>
  </w:num>
  <w:num w:numId="30">
    <w:abstractNumId w:val="2"/>
  </w:num>
  <w:num w:numId="31">
    <w:abstractNumId w:val="17"/>
  </w:num>
  <w:num w:numId="32">
    <w:abstractNumId w:val="32"/>
  </w:num>
  <w:num w:numId="33">
    <w:abstractNumId w:val="23"/>
  </w:num>
  <w:num w:numId="34">
    <w:abstractNumId w:val="29"/>
  </w:num>
  <w:num w:numId="35">
    <w:abstractNumId w:val="18"/>
  </w:num>
  <w:num w:numId="36">
    <w:abstractNumId w:val="7"/>
  </w:num>
  <w:num w:numId="37">
    <w:abstractNumId w:val="21"/>
  </w:num>
  <w:num w:numId="38">
    <w:abstractNumId w:val="25"/>
  </w:num>
  <w:num w:numId="39">
    <w:abstractNumId w:val="6"/>
  </w:num>
  <w:num w:numId="40">
    <w:abstractNumId w:val="22"/>
  </w:num>
  <w:num w:numId="41">
    <w:abstractNumId w:val="46"/>
  </w:num>
  <w:num w:numId="42">
    <w:abstractNumId w:val="13"/>
  </w:num>
  <w:num w:numId="43">
    <w:abstractNumId w:val="5"/>
  </w:num>
  <w:num w:numId="44">
    <w:abstractNumId w:val="37"/>
  </w:num>
  <w:num w:numId="45">
    <w:abstractNumId w:val="27"/>
  </w:num>
  <w:num w:numId="46">
    <w:abstractNumId w:val="3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5sIvSGNh52wD33TxR0x2yWnS3wc=" w:salt="DlYxUEknkZJrOUnG7ElsxQ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561C6"/>
    <w:rsid w:val="000627FF"/>
    <w:rsid w:val="000815FB"/>
    <w:rsid w:val="000A3693"/>
    <w:rsid w:val="000A577B"/>
    <w:rsid w:val="000A7DC8"/>
    <w:rsid w:val="000B43B0"/>
    <w:rsid w:val="000B765B"/>
    <w:rsid w:val="000D6A18"/>
    <w:rsid w:val="00115A85"/>
    <w:rsid w:val="00116CA4"/>
    <w:rsid w:val="001347E4"/>
    <w:rsid w:val="00137F34"/>
    <w:rsid w:val="00175CA1"/>
    <w:rsid w:val="00187028"/>
    <w:rsid w:val="001A22B9"/>
    <w:rsid w:val="001B410F"/>
    <w:rsid w:val="001E46B9"/>
    <w:rsid w:val="001F5E43"/>
    <w:rsid w:val="00216343"/>
    <w:rsid w:val="00240C60"/>
    <w:rsid w:val="00241F70"/>
    <w:rsid w:val="0026286D"/>
    <w:rsid w:val="002830C3"/>
    <w:rsid w:val="00292931"/>
    <w:rsid w:val="00293497"/>
    <w:rsid w:val="002D43B4"/>
    <w:rsid w:val="002D562B"/>
    <w:rsid w:val="00301195"/>
    <w:rsid w:val="00341D24"/>
    <w:rsid w:val="00350826"/>
    <w:rsid w:val="00357990"/>
    <w:rsid w:val="003651D2"/>
    <w:rsid w:val="00375DEA"/>
    <w:rsid w:val="003B7492"/>
    <w:rsid w:val="003C45B6"/>
    <w:rsid w:val="003D6FE8"/>
    <w:rsid w:val="003E2AAE"/>
    <w:rsid w:val="003E5700"/>
    <w:rsid w:val="004158DF"/>
    <w:rsid w:val="00422303"/>
    <w:rsid w:val="0043700E"/>
    <w:rsid w:val="004749E9"/>
    <w:rsid w:val="0048398C"/>
    <w:rsid w:val="004A36F3"/>
    <w:rsid w:val="004B580C"/>
    <w:rsid w:val="004D3F42"/>
    <w:rsid w:val="004D70C6"/>
    <w:rsid w:val="00505DA5"/>
    <w:rsid w:val="00517FDF"/>
    <w:rsid w:val="005305F2"/>
    <w:rsid w:val="00542F57"/>
    <w:rsid w:val="005516E4"/>
    <w:rsid w:val="005521F4"/>
    <w:rsid w:val="00562EA6"/>
    <w:rsid w:val="00585B97"/>
    <w:rsid w:val="005A4FB3"/>
    <w:rsid w:val="005C1667"/>
    <w:rsid w:val="00601EFC"/>
    <w:rsid w:val="006345C2"/>
    <w:rsid w:val="006355A5"/>
    <w:rsid w:val="00653DD5"/>
    <w:rsid w:val="00656D39"/>
    <w:rsid w:val="006877B7"/>
    <w:rsid w:val="006A4621"/>
    <w:rsid w:val="006B4048"/>
    <w:rsid w:val="006C2AFC"/>
    <w:rsid w:val="006C382D"/>
    <w:rsid w:val="006F34CB"/>
    <w:rsid w:val="006F39CF"/>
    <w:rsid w:val="0070543E"/>
    <w:rsid w:val="00733A68"/>
    <w:rsid w:val="0073457B"/>
    <w:rsid w:val="0078413A"/>
    <w:rsid w:val="007A66C8"/>
    <w:rsid w:val="007B5BEC"/>
    <w:rsid w:val="007B6951"/>
    <w:rsid w:val="007C0879"/>
    <w:rsid w:val="00853B0C"/>
    <w:rsid w:val="0087465A"/>
    <w:rsid w:val="00874FC6"/>
    <w:rsid w:val="008937F6"/>
    <w:rsid w:val="008A0851"/>
    <w:rsid w:val="008A3B3E"/>
    <w:rsid w:val="008E4B0C"/>
    <w:rsid w:val="00912799"/>
    <w:rsid w:val="00926960"/>
    <w:rsid w:val="00932036"/>
    <w:rsid w:val="00942D84"/>
    <w:rsid w:val="0094432F"/>
    <w:rsid w:val="009A24AD"/>
    <w:rsid w:val="009C1DDC"/>
    <w:rsid w:val="009C4D17"/>
    <w:rsid w:val="009C5E73"/>
    <w:rsid w:val="009F28CC"/>
    <w:rsid w:val="00A071CD"/>
    <w:rsid w:val="00A319FC"/>
    <w:rsid w:val="00A34BA2"/>
    <w:rsid w:val="00A42C6C"/>
    <w:rsid w:val="00A447AE"/>
    <w:rsid w:val="00A91F95"/>
    <w:rsid w:val="00A962E8"/>
    <w:rsid w:val="00AB6E8B"/>
    <w:rsid w:val="00AC6867"/>
    <w:rsid w:val="00AD7FB0"/>
    <w:rsid w:val="00AE02E5"/>
    <w:rsid w:val="00AF01EF"/>
    <w:rsid w:val="00AF04A2"/>
    <w:rsid w:val="00AF14ED"/>
    <w:rsid w:val="00AF29B0"/>
    <w:rsid w:val="00AF6C36"/>
    <w:rsid w:val="00B61A41"/>
    <w:rsid w:val="00BA6038"/>
    <w:rsid w:val="00BC5576"/>
    <w:rsid w:val="00BD6E71"/>
    <w:rsid w:val="00C058D7"/>
    <w:rsid w:val="00C15CE2"/>
    <w:rsid w:val="00C2722B"/>
    <w:rsid w:val="00C35258"/>
    <w:rsid w:val="00C50E70"/>
    <w:rsid w:val="00C753FA"/>
    <w:rsid w:val="00C82B39"/>
    <w:rsid w:val="00CC18EB"/>
    <w:rsid w:val="00CF5675"/>
    <w:rsid w:val="00D07EE6"/>
    <w:rsid w:val="00D11E65"/>
    <w:rsid w:val="00D27BCB"/>
    <w:rsid w:val="00D8082F"/>
    <w:rsid w:val="00D90657"/>
    <w:rsid w:val="00DC0646"/>
    <w:rsid w:val="00DC17CB"/>
    <w:rsid w:val="00DC4193"/>
    <w:rsid w:val="00DC445A"/>
    <w:rsid w:val="00DC4ABD"/>
    <w:rsid w:val="00E11670"/>
    <w:rsid w:val="00E27B56"/>
    <w:rsid w:val="00E30A58"/>
    <w:rsid w:val="00E3277F"/>
    <w:rsid w:val="00E342DF"/>
    <w:rsid w:val="00E54333"/>
    <w:rsid w:val="00E63874"/>
    <w:rsid w:val="00E66724"/>
    <w:rsid w:val="00E67D82"/>
    <w:rsid w:val="00E91332"/>
    <w:rsid w:val="00E94043"/>
    <w:rsid w:val="00EC3BF6"/>
    <w:rsid w:val="00EC417E"/>
    <w:rsid w:val="00ED232D"/>
    <w:rsid w:val="00ED62AF"/>
    <w:rsid w:val="00F063DF"/>
    <w:rsid w:val="00F11005"/>
    <w:rsid w:val="00F2038D"/>
    <w:rsid w:val="00F20493"/>
    <w:rsid w:val="00F270A5"/>
    <w:rsid w:val="00F56069"/>
    <w:rsid w:val="00F678A2"/>
    <w:rsid w:val="00F71D7D"/>
    <w:rsid w:val="00F81CE6"/>
    <w:rsid w:val="00F843E9"/>
    <w:rsid w:val="00F94A65"/>
    <w:rsid w:val="00FA22CB"/>
    <w:rsid w:val="00FC2235"/>
    <w:rsid w:val="00FC3806"/>
    <w:rsid w:val="00FD273A"/>
    <w:rsid w:val="00FF0B8B"/>
    <w:rsid w:val="00FF2307"/>
    <w:rsid w:val="00FF4D4E"/>
    <w:rsid w:val="00FF5AE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2015-03-20T04:14:00Z</cp:lastPrinted>
  <dcterms:created xsi:type="dcterms:W3CDTF">2015-06-17T04:06:00Z</dcterms:created>
  <dcterms:modified xsi:type="dcterms:W3CDTF">2015-06-17T04:06:00Z</dcterms:modified>
</cp:coreProperties>
</file>